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4" w:tblpY="286"/>
        <w:tblOverlap w:val="never"/>
        <w:tblW w:w="497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054"/>
        <w:gridCol w:w="2054"/>
        <w:gridCol w:w="2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32"/>
                <w:szCs w:val="32"/>
              </w:rPr>
              <w:t>附件1</w:t>
            </w:r>
          </w:p>
          <w:p>
            <w:pPr>
              <w:adjustRightInd w:val="0"/>
              <w:snapToGrid w:val="0"/>
              <w:jc w:val="center"/>
              <w:rPr>
                <w:rFonts w:hint="eastAsia" w:ascii="文星简小标宋" w:hAnsi="文星简小标宋" w:eastAsia="文星简小标宋" w:cs="文星简小标宋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文星简小标宋" w:hAnsi="文星简小标宋" w:eastAsia="文星简小标宋" w:cs="文星简小标宋"/>
                <w:spacing w:val="0"/>
                <w:w w:val="100"/>
                <w:sz w:val="44"/>
                <w:szCs w:val="44"/>
                <w:lang w:val="en-US" w:eastAsia="zh-CN"/>
              </w:rPr>
              <w:t>泉城和谐使者推荐名额分配表</w:t>
            </w:r>
          </w:p>
          <w:p>
            <w:pPr>
              <w:adjustRightInd w:val="0"/>
              <w:snapToGrid w:val="0"/>
              <w:jc w:val="center"/>
              <w:rPr>
                <w:rFonts w:hint="eastAsia" w:ascii="文星简小标宋" w:hAnsi="文星简小标宋" w:eastAsia="文星简小标宋" w:cs="文星简小标宋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养老服务类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市中区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槐荫区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天桥区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历城区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长清区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章丘区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济阳区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莱芜区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钢城区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平阴县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商河县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高新区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南部山区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先行区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莱芜高新区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市直部门（单位）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济南社会工作服务机构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全市合计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41735"/>
    <w:rsid w:val="4DCF12A5"/>
    <w:rsid w:val="57741735"/>
    <w:rsid w:val="5C247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2020-09-30T05:48:00Z</dcterms:created>
  <dc:creator>Administrator</dc:creator>
  <cp:lastModifiedBy>Administrator</cp:lastModifiedBy>
  <dcterms:modified xsi:type="dcterms:W3CDTF">2020-09-30T05:51:27Z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