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济南市妇幼保健协会章程（草案）</w:t>
      </w:r>
    </w:p>
    <w:p>
      <w:pPr>
        <w:spacing w:line="240" w:lineRule="auto"/>
        <w:jc w:val="both"/>
        <w:rPr>
          <w:rFonts w:ascii="黑体" w:hAnsi="黑体" w:eastAsia="黑体" w:cs="仿宋_GB2312"/>
          <w:bCs/>
          <w:sz w:val="44"/>
          <w:szCs w:val="44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总则</w:t>
      </w:r>
    </w:p>
    <w:p>
      <w:pPr>
        <w:spacing w:line="24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本会名称为济南市妇幼保健协会（Jinan Maternal and Child Health Association缩写JMCHA）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本会是由妇幼卫生工作者及妇幼保健相关机构自愿组成的地方性、行业性、非营利性社会组织。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宗旨：遵守宪法、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国家政策，践行社会主义核心价值观，弘扬爱国主义精神，遵守社会道德风尚，自觉加强诚信自律建设，以习近平新时代中国特色社会主义思想和党的二十大精神为指导，贯彻执行母婴保健法和妇幼卫生工作方针，维护行业的合法权益；围绕妇幼保健中心工作，结合行业实际，发挥提供服务、反映诉求、规范行为等作用，提高妇幼保健服务质量和行业管理水平，推动妇幼卫生事业发展，为增进妇女儿童健康和社会主义现代化服务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本会坚持中国共产党的全面领导，根据中国共产党章程的规定，设立中国共产党的组织，开展党的活动，为党组织的活动提供必要条件。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登记机关是济南市行政审批服务局。本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接受社团管理机关、社会组织综合党委、有关行业管理部门的业务指导和监督管理。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的住所：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济南市市中区。</w:t>
      </w:r>
    </w:p>
    <w:p>
      <w:pPr>
        <w:spacing w:line="240" w:lineRule="auto"/>
        <w:jc w:val="both"/>
        <w:rPr>
          <w:rFonts w:ascii="仿宋" w:hAnsi="仿宋" w:eastAsia="仿宋" w:cs="仿宋"/>
          <w:bCs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业务范围</w:t>
      </w:r>
    </w:p>
    <w:p>
      <w:pPr>
        <w:spacing w:line="24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的业务范围：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（一）贯彻、宣传母婴保健法律法规和妇幼卫生方针政策，参与妇幼卫生事业改革，为发展妇幼卫生事业服务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（二）开展调查研究，了解并向主管部门反映妇幼保健机构的工作状况，妇幼卫生工作者的愿望和要求；围绕重点领域开展妇幼保健管理和专业理论研究、学术研讨、经验交流等活动，为政府决策提供科学依据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（三）制订行业管理规范和技术、准入、绩效考核等标准，开展妇幼保健机构服务质量、医德医风等行业监督管理工作，依法维护妇幼保健机构的合法权益，努力营造和谐有序的工作环境和秩序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（四）开展妇幼保健领域各类人员的继续教育和岗位培训，提高服务能力和专业水平，总结、推广妇幼保健工作经验，参与评选妇幼保健优秀科研成果和先进集体、先进工作者活动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（五）交流妇幼保健信息，依照有关规定组织编写、出版妇幼保健期刊、信息资料、教材、书籍、音像制品，组织开展妇幼保健社会宣传、健康教育与健康促进工作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（六）组织开展妇幼保健服务相关技术、方法和产品的研究、开发与推广，提供专业技术咨询与服务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（七）开展妇幼保健合作与交流，加强与有关组织的联系，引进、推广妇幼保健新理论、新知识、新技术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（八）承担政府有关部门委托的其他工作。</w:t>
      </w:r>
    </w:p>
    <w:p>
      <w:pPr>
        <w:spacing w:line="24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会员</w:t>
      </w:r>
    </w:p>
    <w:p>
      <w:pPr>
        <w:spacing w:line="240" w:lineRule="auto"/>
        <w:jc w:val="both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本会的会员为单位会员。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申请加入本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的会员，必须具备下列条件：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（一）拥护本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的章程；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（二）有加入本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的意愿；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的业务（或行业、学科）领域内具有一定的影响；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会员入会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（一）提交入会申请书；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（二）经理事会讨论通过；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（三）由理事会授权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发给会员证。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会员享有下列权利：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（一）本会的选举权、被选举权和表决权；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）参加本会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）获得本会服务的优先权；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（四）对本会工作的批评建议权和监督权；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（五）入会自愿、退会自由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会员履行下列义务：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（一）执行本会的决议；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（二）维护本会的合法权益；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（三）完成本会交办的工作；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（四）按规定缴纳会费；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（五）向本会反映情况，提供有关资料。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会员退会应书面通知本会，并交回会员证。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会员如果1年不缴纳会费或不参加本会活动的，视为自动退会。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会员如有严重违反本章程的行为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经理事会表决通过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予以除名。</w:t>
      </w:r>
    </w:p>
    <w:p>
      <w:pPr>
        <w:spacing w:line="240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组织机构和负责人产生、罢免</w:t>
      </w:r>
    </w:p>
    <w:p>
      <w:pPr>
        <w:spacing w:line="24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的最高权力机构是会员代表大会，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职权是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（一）制定和修改章程；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（二）选举和罢免会长、副会长、秘书长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理事、监事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（三）审议理事会的工作报告和财务报告；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（四）审议监事的工作报告；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（五）制定和修改会费标准；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（六）决定终止事宜；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（七）决定其他重大事宜。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会员代表大会须有2/3以上的会员代表出席方能召开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其决议须经到会会员代表半数以上表决通过方能生效。制定和修改章程、会费标准等重大事项，须经到会会员代表2/3以上表决通过方能生效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会员代表大会每届任期4年。因特殊情况需提前或延期换届的，须由理事会表决通过，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社团登记管理机关批准同意。延期换届最长不超过1年。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理事会是会员代表大会的执行机构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在闭会期间领导本会开展日常工作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对会员代表大会负责。理事会的任期与会员代表大会相同。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理事会的职权是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（一）执行会员代表大会的决议；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）筹备召开会员代表大会；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）向会员代表大会报告工作和财务状况；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）决定会员的吸收或除名；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）决定办事机构、分支机构、代表机构和实体机构的设立、变更和终止；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）决定副秘书长、各机构主要负责人的聘任；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）领导本会各机构开展工作；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）制定内部管理制度；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）决定其他重大事项。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理事由会员代表大会选举产生，享有以下权利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（一）理事会的选举权、被选举权和表决权；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工作情况、财务情况、重大事项的知情权、建议权和监督权；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（三）参与制定内部管理制度，提出意见建议；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（四）向会长或理事会提出召开临时会议的建议权。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理事应当遵守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和本章程的规定，忠实履行职责、维护本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利益，并履行以下义务：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（一）出席理事会会议，执行理事会决议；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（二）谨慎、认真、勤勉、独立和正当行使被合法赋予的职权；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（三）不利用理事职权谋取不正当利益；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（四）不从事损害本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合法利益的活动；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（五）不得泄露在任职期间所获得的涉及本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的涉密信息，但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另有规定的除外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（六）接受监事对其履行职责的合法监督和合理建议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理事会须有2/3以上理事出席方能召开，其决议须经到会理事2/3以上表决通过方能生效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理事会每年至少召开一次会议；特殊情况的，也可采用通讯形式召开。涉及改选换届、人、财、物等重大事项决议的理事会会议，不得以通讯方式召开。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本会会长、副会长、秘书长必须具备以下条件：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（一）坚持党的路线、方针、政策，政治素质好；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（二）在本会业务领域内有较大影响；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会长、副会长、秘书长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最高任职年龄不超过70周岁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秘书长为专职；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（四）身体健康，能坚持正常工作；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（五）未受过剥夺政治权利的刑事处罚的；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（六）具有完全民事行为能力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会长、副会长、秘书长如超过最高任职年龄的，须由理事会表决通过，报社会组织综合党委审查并经社团登记管理机关批准后，方可任职。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本会会长、副会长、秘书长任期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与届期相同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，连任不得超过两届。因特殊情况需延长任期的，须经会员代表大会2/3以上会员代表表决通过，报社会组织综合党委审查并经社团登记管理机关批准后，方可任职。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本会会长行使下列职权：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（一）召集和主持理事会；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（二）检查会员代表大会、理事会决议的落实情况；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（三）代表本会签署有关重要文件。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副会长、秘书长协助会长开展工作。本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秘书长实行选任制，行使下列职责：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（一）协调各机构开展工作；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（二）主持办事机构开展日常工作；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（三）处理其他日常事务。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（四）提名副秘书长及所属机构主要负责人，交理事会决定；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（五）决定专职工作人员的聘用；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（六）拟订年度工作报告和工作计划，报理事会审议；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（七）拟订年度财务预算、决算报告，报理事会审议；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（八）拟订内部管理制度，报理事会批准。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本会副会长之一为本会法定代表人，法定代表人代表本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签署有关重要文件。本会法定代表人不兼任其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他社会团体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担任本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法定代表人的执行机构负责人被罢免，或本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原任法定代表人不予配合办理法定代表人变更登记的，本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会员代表大会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同意变更的决议，由新当选的法定代表人代为行使职权，向登记管理机关申请变更登记。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本会设监事2名。监事由会员代表大会选举产生，或由社团登记管理机关根据工作需要委派，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监事任期与理事任期相同，任期届满，可连任。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本会理事及财务人员不得兼任监事。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监事应当遵守有关法律法规和本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章程，忠实、勤勉，行使下列职权：</w:t>
      </w:r>
    </w:p>
    <w:p>
      <w:pPr>
        <w:spacing w:line="24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（一）列席理事会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，并对理事会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决议事项提出质询或建议；</w:t>
      </w:r>
    </w:p>
    <w:p>
      <w:pPr>
        <w:spacing w:line="24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（二）对理事、负责人执行本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职务的行为进行监督，对违反法律、行政法规和章程的负责人、理事提出依程序罢免的建议；</w:t>
      </w:r>
    </w:p>
    <w:p>
      <w:pPr>
        <w:spacing w:line="24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（三）检查财务和会计资料，监督理事会履行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会员代表大会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的决议；</w:t>
      </w:r>
    </w:p>
    <w:p>
      <w:pPr>
        <w:spacing w:line="24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（四）对理事、负责人、财务管理人员损害本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利益的行为，及时予以纠正；</w:t>
      </w:r>
    </w:p>
    <w:p>
      <w:pPr>
        <w:spacing w:line="24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（五）向登记管理机关、社会组织综合党委、行业管理部门以及税务、会计主管部门反映本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工作中存在的问题；</w:t>
      </w:r>
    </w:p>
    <w:p>
      <w:pPr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（六）决定其他应由监事审议的事项。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监事可以对本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开展活动情况进行调查；必要时，可以聘请会计师事务所等协助其工作。监事行使职权所必需的费用，由本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承担。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360" w:lineRule="auto"/>
        <w:ind w:firstLine="640" w:firstLineChars="200"/>
        <w:jc w:val="both"/>
        <w:rPr>
          <w:rFonts w:ascii="仿宋" w:hAnsi="仿宋" w:eastAsia="仿宋" w:cs="仿宋"/>
          <w:bCs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分支机构、代表机构</w:t>
      </w:r>
    </w:p>
    <w:p>
      <w:pPr>
        <w:spacing w:line="24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根据章程规定的宗旨和业务范围，可以自行决定分支机构、代表机构的设立、变更和终止。前述决定应当经理事会讨论通过，制作会议纪要，妥善保存原始资料。分支机构是本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根据开展活动的需要，依据业务范围的划分或者会员组成的特点，设立的专门从事本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某项业务活动的机构。代表机构是本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在住所地以外属于其活动区域内设置的代表本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开展活动、承办本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交办事项的机构。本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的分支机构、代表机构是本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的组成部分，不具有法人资格，不得另行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章程，不得发放任何形式的登记证书，在本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授权的范围内开展活动、发展会员，法律责任由本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承担。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不得设立地域性分支机构，不得在分支机构、代表机构下再设立分支机构、代表机构。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分支机构、代表机构开展活动应当使用冠有所属社会团体名称的规范全称，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并不得超出本会的业务范围。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分支机构、代表机构名称不得以各类法人组织的名称命名，不得在名称中使用“中国”“中华”“全国”“国家”等字样，不得单独冠以 “山东”“齐鲁”“全省”等字样，分支机构以“分会”“专业委员会”“工作委员会”字样结束，代表机构以“办事处”“代表处”“联络处”字样结束。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分支机构、代表机构的负责人，年龄不得超过70周岁，连任不超过2届。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分支机构、代表机构的财务、账户纳入本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统一管理，不以设立分支机构、代表机构的名义收取或变相收取管理费、赞助费等，不将上述机构委托其他组织运营，确保分支机构、代表机构依法办事，按章程开展活动。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社会团体应当在年度工作报告中将其分支机构、代表机构的名称、负责人、住所、设立程序、开展活动等有关情况报送登记管理机关，接受年度检查，不得弄虚作假。同时，应当将上述信息及时向社会公开，自觉接受社会监督。</w:t>
      </w:r>
    </w:p>
    <w:p>
      <w:pPr>
        <w:spacing w:line="360" w:lineRule="auto"/>
        <w:ind w:firstLine="800" w:firstLineChars="25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管理制度和矛盾解决机制</w:t>
      </w:r>
    </w:p>
    <w:p>
      <w:pPr>
        <w:spacing w:line="24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与境外非政府组织在境内合作开展活动，根据《中华人民共和国境外非政府组织境内活动管理法》有关规定办理。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健全法人治理结构制度，完善相关管理规程。建立《会员管理办法》《信息公开办法》《会员代表选举办法》《会费管理办法》《理事会表决规程》《会员（代表）大会选举规程》《分支机构、代表机构管理办法》等相关制度和文件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建立健全证书、印章、档案、文件等内部管理制度，并将以上物品和资料妥善保管于本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办公住所，任何单位、个人不得非法侵占。管理人员调动工作或者离职时，必须与接管人员办清交接手续。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证书、印章遗失时，经理事会2/3以上理事表决通过，在市级公开发行的报刊上刊登遗失声明后，向登记管理机关申请重新制发或刻制。如被个人非法侵占，应通过法律途径要求返还。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建立民主协商和内部矛盾解决机制。如发生内部矛盾不能经过协商解决的，可以通过调解、诉讼等途径依法解决。</w:t>
      </w:r>
    </w:p>
    <w:p>
      <w:pPr>
        <w:spacing w:line="24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资产管理、使用原则</w:t>
      </w:r>
    </w:p>
    <w:p>
      <w:pPr>
        <w:spacing w:line="240" w:lineRule="auto"/>
        <w:jc w:val="both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本会经费来源：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（一）会费；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（二）捐赠；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（三）政府资助；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（四）在核准的业务范围内开展活动或服务的收入；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（五）利息；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（六）其他合法收入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本会按照国家有关规定收取会员会费。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本会经费必须用于本章程规定的业务范围和事业发展，不得在会员中分配。</w:t>
      </w:r>
    </w:p>
    <w:p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第四十八条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执行《民间非营利组织会计制度》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建立严格的财务管理制度，保证会计资料合法、真实、准确、完整。</w:t>
      </w:r>
    </w:p>
    <w:p>
      <w:pPr>
        <w:spacing w:line="24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第四十九条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本会配备具有专业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能力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的会计人员。会计不得兼任出纳。会计人员必须进行会计核算，实行会计监督。会计人员调动工作或离职时，必须与接管人员办清交接手续。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本会的资产管理必须执行国家规定的财务管理制度，接受会员代表大会和财政部门的监督。资产来源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于国家拨款或者社会捐赠、资助的，必须接受审计机关的监督，并将有关情况以适当方式向社会公布。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重大资产配置、处置须经过会员代表大会或者理事会审议。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理事会决议违反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法律法规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或章程规定，致使本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遭受损失的，参与审议的理事应当承担责任。但经证明在表决时反对并记载于会议记录的，该理事可免除责任。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更换法定代表人之前必须接受社团登记管理机关组织的财务审计。本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法定代表人在任期间，本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发生违反《社会团体登记管理条例》《山东省实施〈社会团体登记管理条例〉办法》和本章程的行为，法定代表人应当承担相关责任。因本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法定代表人失职，导致本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发生违法行为或财产损失的，法定代表人应当承担个人责任。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的全部资产及其增值为本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所有，任何单位、个人不得侵占、私分和挪用，也不得在会员中分配。</w:t>
      </w:r>
    </w:p>
    <w:p>
      <w:pPr>
        <w:spacing w:line="360" w:lineRule="auto"/>
        <w:ind w:firstLine="6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本会专职工作人员的工资和保险、福利待遇，参照国家对事业单位的有关规定执行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4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宋体" w:cs="仿宋"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第八章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信息公开与信用承诺</w:t>
      </w:r>
    </w:p>
    <w:p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after="0"/>
        <w:ind w:firstLine="562" w:firstLineChars="200"/>
        <w:jc w:val="both"/>
        <w:rPr>
          <w:rFonts w:ascii="仿宋_GB2312" w:hAnsi="华文仿宋" w:eastAsia="仿宋_GB2312" w:cs="仿宋_GB2312"/>
          <w:b/>
          <w:bCs/>
          <w:sz w:val="28"/>
          <w:szCs w:val="28"/>
        </w:rPr>
      </w:pP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第五十六条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会依据有关政策法规，履行信息公开义务，建立信息公开制度，及时向会员公开年度工作报告、第三方机构出具的报告、会费收支情况以及经理事会研究认为有必要公开的其他信息，及时向社会公开登记事项、章程、组织机构、接受捐赠、信用承诺、政府转移或委托事项、可提供服务事项及运行情况等信息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会建立新闻发言人制度，经理事会通过，任命或指定1名负责人作为新闻发言人，就本会的重要活动、重大事件或热点问题，通过定期或不定期举行新闻发布会、吹风会、接受采访等形式主动回应社会关切。新闻发布内容应由本会法定代表人审定，确保正确的舆论导向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第五十七条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本会建立年度报告制度，年度报告内容及时向社会公开，接受公众监督。</w:t>
      </w:r>
    </w:p>
    <w:p>
      <w:pPr>
        <w:spacing w:line="360" w:lineRule="auto"/>
        <w:ind w:firstLine="6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第五十八条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本会重点围绕服务内容、服务方式、服务对象和收费标准等建立信用承诺制度，并向社会公开信用承诺内容。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jc w:val="both"/>
        <w:textAlignment w:val="auto"/>
        <w:rPr>
          <w:rFonts w:ascii="宋体" w:hAnsi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第九章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章程的修改程序</w:t>
      </w:r>
    </w:p>
    <w:p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对本会章程的修改，须经理事会表决通过后报会员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本会修改的章程，须在会员代表大会通过后15日内，报社团登记管理机关核准后生效。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第十章</w:t>
      </w:r>
      <w:r>
        <w:rPr>
          <w:rFonts w:hint="eastAsia" w:ascii="宋体" w:hAnsi="宋体" w:cs="宋体"/>
          <w:b/>
          <w:sz w:val="36"/>
          <w:szCs w:val="36"/>
        </w:rPr>
        <w:t xml:space="preserve"> 终止程序及终止后的财产处理</w:t>
      </w:r>
    </w:p>
    <w:p>
      <w:pPr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本会完成宗旨或自行解散或由于分立、合并等原因需要注销的，由理事会提出终止动议。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本会终止动议须经会员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大会表决通过。</w:t>
      </w:r>
    </w:p>
    <w:p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终止前，应当依法成立清算组织，在市级公开发行的报刊上发布公告，清理债权债务，处理善后事宜，接受社团登记管理机关组织的注销清算审计。清算期间，不开展清算以外的活动。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本会经社团登记管理机关办理注销登记手续后即为终止。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终止后的剩余财产，在社团登记管理机关的监督下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按照国家有关规定，用于发展与本会宗旨相关的事业。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第十一章</w:t>
      </w:r>
      <w:r>
        <w:rPr>
          <w:rFonts w:hint="eastAsia" w:ascii="宋体" w:hAnsi="宋体" w:cs="宋体"/>
          <w:b/>
          <w:sz w:val="36"/>
          <w:szCs w:val="36"/>
        </w:rPr>
        <w:t xml:space="preserve"> 附则</w:t>
      </w:r>
    </w:p>
    <w:p>
      <w:pPr>
        <w:spacing w:line="240" w:lineRule="auto"/>
        <w:jc w:val="both"/>
        <w:rPr>
          <w:rFonts w:ascii="宋体" w:hAnsi="宋体" w:cs="宋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本章程（草案）经2023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届会员代表大会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第五次理事会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表决通过。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本章程的解释权属本会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理事会。</w:t>
      </w:r>
    </w:p>
    <w:p>
      <w:pPr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本章程自社团登记管理机关核准之日起生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54F9"/>
    <w:multiLevelType w:val="singleLevel"/>
    <w:tmpl w:val="5FCD54F9"/>
    <w:lvl w:ilvl="0" w:tentative="0">
      <w:start w:val="1"/>
      <w:numFmt w:val="chineseCounting"/>
      <w:suff w:val="space"/>
      <w:lvlText w:val="第%1章"/>
      <w:lvlJc w:val="left"/>
      <w:rPr>
        <w:rFonts w:hint="eastAsia" w:asciiTheme="majorEastAsia" w:hAnsiTheme="majorEastAsia" w:eastAsiaTheme="majorEastAsia" w:cstheme="majorEastAsia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DNlMjUzNTZhYzdkYzk2OGUzMDQ4Y2EwOGZlYWIifQ=="/>
  </w:docVars>
  <w:rsids>
    <w:rsidRoot w:val="11702943"/>
    <w:rsid w:val="00047A94"/>
    <w:rsid w:val="00184D96"/>
    <w:rsid w:val="00311A5F"/>
    <w:rsid w:val="0031225B"/>
    <w:rsid w:val="0039355C"/>
    <w:rsid w:val="003A3394"/>
    <w:rsid w:val="00405B4C"/>
    <w:rsid w:val="005D58D5"/>
    <w:rsid w:val="00615EA1"/>
    <w:rsid w:val="00620364"/>
    <w:rsid w:val="0067197D"/>
    <w:rsid w:val="006A5C6E"/>
    <w:rsid w:val="006E4400"/>
    <w:rsid w:val="00702890"/>
    <w:rsid w:val="008B4FD5"/>
    <w:rsid w:val="009444C8"/>
    <w:rsid w:val="00944D2E"/>
    <w:rsid w:val="00A83A15"/>
    <w:rsid w:val="00A90CD1"/>
    <w:rsid w:val="00DC6573"/>
    <w:rsid w:val="01883901"/>
    <w:rsid w:val="02A91D81"/>
    <w:rsid w:val="02F254D6"/>
    <w:rsid w:val="03653EFA"/>
    <w:rsid w:val="04910D1F"/>
    <w:rsid w:val="051554AC"/>
    <w:rsid w:val="0526590B"/>
    <w:rsid w:val="059565ED"/>
    <w:rsid w:val="05A84572"/>
    <w:rsid w:val="06562220"/>
    <w:rsid w:val="068C79F0"/>
    <w:rsid w:val="06C13B3D"/>
    <w:rsid w:val="07302A71"/>
    <w:rsid w:val="07442078"/>
    <w:rsid w:val="083640B7"/>
    <w:rsid w:val="08B1373D"/>
    <w:rsid w:val="08C01BD2"/>
    <w:rsid w:val="09012917"/>
    <w:rsid w:val="09063A89"/>
    <w:rsid w:val="09167A44"/>
    <w:rsid w:val="091837BC"/>
    <w:rsid w:val="09866978"/>
    <w:rsid w:val="09BA2AC6"/>
    <w:rsid w:val="09DC2A3C"/>
    <w:rsid w:val="09F47D86"/>
    <w:rsid w:val="0A652A31"/>
    <w:rsid w:val="0A8E1F88"/>
    <w:rsid w:val="0B536D2E"/>
    <w:rsid w:val="0BC639A4"/>
    <w:rsid w:val="0BCA5242"/>
    <w:rsid w:val="0C0149DC"/>
    <w:rsid w:val="0C6236CC"/>
    <w:rsid w:val="0C873133"/>
    <w:rsid w:val="0C9E047D"/>
    <w:rsid w:val="0CB67574"/>
    <w:rsid w:val="0CE642FD"/>
    <w:rsid w:val="0EF95E3E"/>
    <w:rsid w:val="0FD541B5"/>
    <w:rsid w:val="106D0892"/>
    <w:rsid w:val="108005C5"/>
    <w:rsid w:val="10F36FE9"/>
    <w:rsid w:val="11702943"/>
    <w:rsid w:val="12045226"/>
    <w:rsid w:val="122B4561"/>
    <w:rsid w:val="124E024F"/>
    <w:rsid w:val="12B02CB8"/>
    <w:rsid w:val="12DE15D3"/>
    <w:rsid w:val="13196AAF"/>
    <w:rsid w:val="139B74C4"/>
    <w:rsid w:val="15267261"/>
    <w:rsid w:val="153E27FD"/>
    <w:rsid w:val="161D68B6"/>
    <w:rsid w:val="162B0FD3"/>
    <w:rsid w:val="16A448E1"/>
    <w:rsid w:val="16AD19E8"/>
    <w:rsid w:val="16B56AEF"/>
    <w:rsid w:val="16C17241"/>
    <w:rsid w:val="174165D4"/>
    <w:rsid w:val="17A32DEB"/>
    <w:rsid w:val="18245CDA"/>
    <w:rsid w:val="18AE7C99"/>
    <w:rsid w:val="193C52A5"/>
    <w:rsid w:val="196A1E12"/>
    <w:rsid w:val="1AAB26E2"/>
    <w:rsid w:val="1B283D33"/>
    <w:rsid w:val="1B4A1EFB"/>
    <w:rsid w:val="1BEA548C"/>
    <w:rsid w:val="1CBB1F2F"/>
    <w:rsid w:val="1D440BCC"/>
    <w:rsid w:val="1D4604A0"/>
    <w:rsid w:val="1DD12460"/>
    <w:rsid w:val="1DF24184"/>
    <w:rsid w:val="1F4B6242"/>
    <w:rsid w:val="1FA94D17"/>
    <w:rsid w:val="20AE6A88"/>
    <w:rsid w:val="213351E0"/>
    <w:rsid w:val="21787096"/>
    <w:rsid w:val="22237002"/>
    <w:rsid w:val="23B56380"/>
    <w:rsid w:val="23C6233B"/>
    <w:rsid w:val="23FD3B14"/>
    <w:rsid w:val="242B4894"/>
    <w:rsid w:val="24376D95"/>
    <w:rsid w:val="24392B0D"/>
    <w:rsid w:val="254C6870"/>
    <w:rsid w:val="26217CFD"/>
    <w:rsid w:val="27827B36"/>
    <w:rsid w:val="27BF77CD"/>
    <w:rsid w:val="27E234BC"/>
    <w:rsid w:val="28074CD0"/>
    <w:rsid w:val="28862099"/>
    <w:rsid w:val="289B1FE8"/>
    <w:rsid w:val="29D11A3A"/>
    <w:rsid w:val="2A224043"/>
    <w:rsid w:val="2A263B34"/>
    <w:rsid w:val="2A685EFA"/>
    <w:rsid w:val="2B1971F4"/>
    <w:rsid w:val="2C550700"/>
    <w:rsid w:val="2D371BB4"/>
    <w:rsid w:val="2D9E7E85"/>
    <w:rsid w:val="2E3B3926"/>
    <w:rsid w:val="2E3D144C"/>
    <w:rsid w:val="2E496043"/>
    <w:rsid w:val="2E9D013C"/>
    <w:rsid w:val="2EAB4607"/>
    <w:rsid w:val="2F6824F8"/>
    <w:rsid w:val="2F8337D6"/>
    <w:rsid w:val="2F9C6646"/>
    <w:rsid w:val="2FA379D4"/>
    <w:rsid w:val="2FED29FE"/>
    <w:rsid w:val="2FEF2C1A"/>
    <w:rsid w:val="30330D58"/>
    <w:rsid w:val="30C6397A"/>
    <w:rsid w:val="311741D6"/>
    <w:rsid w:val="314D19A6"/>
    <w:rsid w:val="319E0453"/>
    <w:rsid w:val="32AC4DF2"/>
    <w:rsid w:val="33095DA0"/>
    <w:rsid w:val="33226E62"/>
    <w:rsid w:val="33590AD6"/>
    <w:rsid w:val="33AF6948"/>
    <w:rsid w:val="33C00B55"/>
    <w:rsid w:val="33F151B2"/>
    <w:rsid w:val="344F1ED9"/>
    <w:rsid w:val="345474EF"/>
    <w:rsid w:val="34565015"/>
    <w:rsid w:val="34A22009"/>
    <w:rsid w:val="356D6ABA"/>
    <w:rsid w:val="376D2DA2"/>
    <w:rsid w:val="37B00EE0"/>
    <w:rsid w:val="37EB1F18"/>
    <w:rsid w:val="382B0567"/>
    <w:rsid w:val="382D2531"/>
    <w:rsid w:val="388F0AF6"/>
    <w:rsid w:val="398919E9"/>
    <w:rsid w:val="3A2B0CF2"/>
    <w:rsid w:val="3A3951BD"/>
    <w:rsid w:val="3A9B19D4"/>
    <w:rsid w:val="3AA765CB"/>
    <w:rsid w:val="3ADB2718"/>
    <w:rsid w:val="3B003F2D"/>
    <w:rsid w:val="3BA96372"/>
    <w:rsid w:val="3BF03FA1"/>
    <w:rsid w:val="3C0E2679"/>
    <w:rsid w:val="3C5F6A31"/>
    <w:rsid w:val="3CD64F45"/>
    <w:rsid w:val="3CF74EBC"/>
    <w:rsid w:val="3D363C36"/>
    <w:rsid w:val="3D622C7D"/>
    <w:rsid w:val="3DCE20C0"/>
    <w:rsid w:val="3E1F291C"/>
    <w:rsid w:val="3E8F7AA2"/>
    <w:rsid w:val="3F0A35CC"/>
    <w:rsid w:val="3F277CDA"/>
    <w:rsid w:val="3F2D1069"/>
    <w:rsid w:val="3F7942AE"/>
    <w:rsid w:val="3FBB48C6"/>
    <w:rsid w:val="3FCE45FA"/>
    <w:rsid w:val="4050500F"/>
    <w:rsid w:val="40DE086C"/>
    <w:rsid w:val="418D5DEE"/>
    <w:rsid w:val="41C45CB4"/>
    <w:rsid w:val="426C3C56"/>
    <w:rsid w:val="427D40B5"/>
    <w:rsid w:val="42815953"/>
    <w:rsid w:val="42BC4BDD"/>
    <w:rsid w:val="431C38CE"/>
    <w:rsid w:val="439B0C97"/>
    <w:rsid w:val="43E4263E"/>
    <w:rsid w:val="43E443EC"/>
    <w:rsid w:val="446B2E99"/>
    <w:rsid w:val="44BA339E"/>
    <w:rsid w:val="44CB735A"/>
    <w:rsid w:val="44FF7003"/>
    <w:rsid w:val="45967968"/>
    <w:rsid w:val="466B0DF4"/>
    <w:rsid w:val="469B0FAE"/>
    <w:rsid w:val="46E75FA1"/>
    <w:rsid w:val="472E3BD0"/>
    <w:rsid w:val="47411B55"/>
    <w:rsid w:val="47777325"/>
    <w:rsid w:val="477E06B3"/>
    <w:rsid w:val="47A04ACD"/>
    <w:rsid w:val="47EF7816"/>
    <w:rsid w:val="480C3F11"/>
    <w:rsid w:val="488C5052"/>
    <w:rsid w:val="49EF5898"/>
    <w:rsid w:val="4A62606A"/>
    <w:rsid w:val="4A730277"/>
    <w:rsid w:val="4B2E23F0"/>
    <w:rsid w:val="4B502367"/>
    <w:rsid w:val="4B84412C"/>
    <w:rsid w:val="4C4D2D4A"/>
    <w:rsid w:val="4C561BFF"/>
    <w:rsid w:val="4C8A7AFA"/>
    <w:rsid w:val="4CA3296A"/>
    <w:rsid w:val="4CF80F08"/>
    <w:rsid w:val="4D5F4AE3"/>
    <w:rsid w:val="4DC42B98"/>
    <w:rsid w:val="4E467A51"/>
    <w:rsid w:val="4EEC684A"/>
    <w:rsid w:val="4F674123"/>
    <w:rsid w:val="4FC926E8"/>
    <w:rsid w:val="50A62A29"/>
    <w:rsid w:val="51134562"/>
    <w:rsid w:val="51200A2D"/>
    <w:rsid w:val="51825244"/>
    <w:rsid w:val="51B01DB1"/>
    <w:rsid w:val="523A5B1F"/>
    <w:rsid w:val="53B536AF"/>
    <w:rsid w:val="53CA4C80"/>
    <w:rsid w:val="541128AF"/>
    <w:rsid w:val="54FC5695"/>
    <w:rsid w:val="555B0286"/>
    <w:rsid w:val="562468CA"/>
    <w:rsid w:val="56446F6C"/>
    <w:rsid w:val="56C65BD3"/>
    <w:rsid w:val="570566FB"/>
    <w:rsid w:val="571B7CCD"/>
    <w:rsid w:val="57A35F14"/>
    <w:rsid w:val="57B974E6"/>
    <w:rsid w:val="58201313"/>
    <w:rsid w:val="58405511"/>
    <w:rsid w:val="592B61C1"/>
    <w:rsid w:val="592F5CB1"/>
    <w:rsid w:val="596D67DA"/>
    <w:rsid w:val="597E4543"/>
    <w:rsid w:val="59B61F2F"/>
    <w:rsid w:val="59D6437F"/>
    <w:rsid w:val="5A0013FC"/>
    <w:rsid w:val="5A1D0200"/>
    <w:rsid w:val="5A2055FA"/>
    <w:rsid w:val="5A767910"/>
    <w:rsid w:val="5AB521E6"/>
    <w:rsid w:val="5ACC12DE"/>
    <w:rsid w:val="5AF75899"/>
    <w:rsid w:val="5AFF7905"/>
    <w:rsid w:val="5B0B1E06"/>
    <w:rsid w:val="5B2B06FA"/>
    <w:rsid w:val="5B4672E2"/>
    <w:rsid w:val="5C335AB8"/>
    <w:rsid w:val="5C4F0418"/>
    <w:rsid w:val="5C8C6F77"/>
    <w:rsid w:val="5CB70498"/>
    <w:rsid w:val="5D700646"/>
    <w:rsid w:val="5DF569A5"/>
    <w:rsid w:val="5E211941"/>
    <w:rsid w:val="5E6737F7"/>
    <w:rsid w:val="5EA95CCB"/>
    <w:rsid w:val="5EAA5DDA"/>
    <w:rsid w:val="5F772160"/>
    <w:rsid w:val="5F97010C"/>
    <w:rsid w:val="5FD0361E"/>
    <w:rsid w:val="5FE07D05"/>
    <w:rsid w:val="60433DF0"/>
    <w:rsid w:val="609B1E7E"/>
    <w:rsid w:val="60C2565D"/>
    <w:rsid w:val="616B7AA3"/>
    <w:rsid w:val="61D373F6"/>
    <w:rsid w:val="61D94AC0"/>
    <w:rsid w:val="62361E5F"/>
    <w:rsid w:val="62816E52"/>
    <w:rsid w:val="628A3F58"/>
    <w:rsid w:val="639257BA"/>
    <w:rsid w:val="64942E6C"/>
    <w:rsid w:val="649966D5"/>
    <w:rsid w:val="64BE613B"/>
    <w:rsid w:val="653B778C"/>
    <w:rsid w:val="65DF280D"/>
    <w:rsid w:val="66AB0941"/>
    <w:rsid w:val="6796339F"/>
    <w:rsid w:val="67BD26DA"/>
    <w:rsid w:val="67FD51CC"/>
    <w:rsid w:val="68386205"/>
    <w:rsid w:val="683F3A37"/>
    <w:rsid w:val="68EF4B15"/>
    <w:rsid w:val="69D65CD5"/>
    <w:rsid w:val="6B113469"/>
    <w:rsid w:val="6B1747F7"/>
    <w:rsid w:val="6B4849B1"/>
    <w:rsid w:val="6B4F5D3F"/>
    <w:rsid w:val="6BD85D34"/>
    <w:rsid w:val="6C501D6F"/>
    <w:rsid w:val="6CAB51F7"/>
    <w:rsid w:val="6CDC7AA6"/>
    <w:rsid w:val="6D4573FA"/>
    <w:rsid w:val="6D4B2536"/>
    <w:rsid w:val="6DB66549"/>
    <w:rsid w:val="6DC20A4A"/>
    <w:rsid w:val="6DC26C9C"/>
    <w:rsid w:val="6E1B45FE"/>
    <w:rsid w:val="6E2039C3"/>
    <w:rsid w:val="6E380D0C"/>
    <w:rsid w:val="6E6B10E2"/>
    <w:rsid w:val="6ED36C87"/>
    <w:rsid w:val="6EDC5B3C"/>
    <w:rsid w:val="6F563B40"/>
    <w:rsid w:val="700510C2"/>
    <w:rsid w:val="701D01BA"/>
    <w:rsid w:val="70585696"/>
    <w:rsid w:val="71125845"/>
    <w:rsid w:val="719C5A56"/>
    <w:rsid w:val="71BB5EDC"/>
    <w:rsid w:val="72E871A5"/>
    <w:rsid w:val="7370719A"/>
    <w:rsid w:val="73B928EF"/>
    <w:rsid w:val="74122000"/>
    <w:rsid w:val="75826D11"/>
    <w:rsid w:val="75B72E5F"/>
    <w:rsid w:val="75DC28C5"/>
    <w:rsid w:val="768D3BBF"/>
    <w:rsid w:val="76BF021D"/>
    <w:rsid w:val="77185B7F"/>
    <w:rsid w:val="773D55E5"/>
    <w:rsid w:val="775D3592"/>
    <w:rsid w:val="77C16217"/>
    <w:rsid w:val="78322C70"/>
    <w:rsid w:val="784A620C"/>
    <w:rsid w:val="78C25DA2"/>
    <w:rsid w:val="79116D2A"/>
    <w:rsid w:val="7A545120"/>
    <w:rsid w:val="7B424F78"/>
    <w:rsid w:val="7C136915"/>
    <w:rsid w:val="7C1F175E"/>
    <w:rsid w:val="7C635AEE"/>
    <w:rsid w:val="7D083FA0"/>
    <w:rsid w:val="7D1943FF"/>
    <w:rsid w:val="7D4E40A8"/>
    <w:rsid w:val="7D637428"/>
    <w:rsid w:val="7D9B4E14"/>
    <w:rsid w:val="7DCE6F97"/>
    <w:rsid w:val="7EDB5E10"/>
    <w:rsid w:val="7F4A6AF1"/>
    <w:rsid w:val="7FA75CF2"/>
    <w:rsid w:val="7FC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adjustRightInd/>
      <w:spacing w:before="100" w:after="100" w:line="240" w:lineRule="auto"/>
    </w:pPr>
    <w:rPr>
      <w:rFonts w:ascii="宋体" w:hAnsi="宋体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862</Words>
  <Characters>4915</Characters>
  <Lines>40</Lines>
  <Paragraphs>11</Paragraphs>
  <TotalTime>13</TotalTime>
  <ScaleCrop>false</ScaleCrop>
  <LinksUpToDate>false</LinksUpToDate>
  <CharactersWithSpaces>5766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2023-08-30T08:25:00Z</dcterms:created>
  <dc:creator>陈艳</dc:creator>
  <cp:lastModifiedBy>学术</cp:lastModifiedBy>
  <cp:lastPrinted>2023-09-05T01:21:00Z</cp:lastPrinted>
  <dcterms:modified xsi:type="dcterms:W3CDTF">2023-09-12T06:17:42Z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AE715176B23549A88A98FCFC58C2B23B_13</vt:lpwstr>
  </property>
</Properties>
</file>