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60" w:lineRule="exact"/>
        <w:jc w:val="center"/>
        <w:rPr>
          <w:rFonts w:ascii="微软雅黑" w:hAnsi="微软雅黑" w:eastAsia="微软雅黑" w:cs="微软雅黑"/>
          <w:color w:val="000000" w:themeColor="text1"/>
          <w:sz w:val="44"/>
          <w:szCs w:val="44"/>
        </w:rPr>
      </w:pPr>
    </w:p>
    <w:p>
      <w:pPr>
        <w:spacing w:before="312" w:beforeLines="100" w:line="560" w:lineRule="exact"/>
        <w:jc w:val="center"/>
        <w:rPr>
          <w:rFonts w:ascii="方正小标宋简体" w:hAnsi="微软雅黑" w:eastAsia="方正小标宋简体" w:cs="微软雅黑"/>
          <w:color w:val="000000" w:themeColor="text1"/>
          <w:sz w:val="44"/>
          <w:szCs w:val="44"/>
        </w:rPr>
      </w:pPr>
      <w:r>
        <w:rPr>
          <w:rFonts w:hint="eastAsia" w:ascii="方正小标宋简体" w:hAnsi="微软雅黑" w:eastAsia="方正小标宋简体" w:cs="微软雅黑"/>
          <w:color w:val="000000" w:themeColor="text1"/>
          <w:sz w:val="44"/>
          <w:szCs w:val="44"/>
        </w:rPr>
        <w:t>济南市特困人员救助供养办法</w:t>
      </w:r>
    </w:p>
    <w:p>
      <w:pPr>
        <w:spacing w:line="500" w:lineRule="exact"/>
        <w:jc w:val="center"/>
        <w:rPr>
          <w:rFonts w:ascii="楷体" w:hAnsi="楷体" w:eastAsia="楷体" w:cs="楷体"/>
          <w:color w:val="000000" w:themeColor="text1"/>
          <w:sz w:val="32"/>
          <w:szCs w:val="32"/>
        </w:rPr>
      </w:pPr>
    </w:p>
    <w:p>
      <w:pPr>
        <w:numPr>
          <w:ilvl w:val="255"/>
          <w:numId w:val="0"/>
        </w:numPr>
        <w:spacing w:before="312" w:beforeLines="100"/>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第一章  总  则</w:t>
      </w:r>
    </w:p>
    <w:p>
      <w:pPr>
        <w:spacing w:line="560" w:lineRule="exact"/>
        <w:ind w:firstLine="640" w:firstLineChars="200"/>
        <w:rPr>
          <w:rFonts w:ascii="黑体" w:hAnsi="黑体" w:eastAsia="黑体" w:cs="黑体"/>
          <w:color w:val="000000" w:themeColor="text1"/>
          <w:sz w:val="32"/>
          <w:szCs w:val="32"/>
        </w:rPr>
      </w:pPr>
    </w:p>
    <w:p>
      <w:pPr>
        <w:spacing w:line="560" w:lineRule="exact"/>
        <w:ind w:firstLine="640" w:firstLineChars="200"/>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第一条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为进一步健全特困人员救助供养制度，统筹完善社会救助体系，根据《山东省特困人员认定办法》《济南市贯彻</w:t>
      </w:r>
      <w:r>
        <w:rPr>
          <w:rFonts w:hint="eastAsia" w:ascii="仿宋" w:hAnsi="仿宋" w:eastAsia="仿宋" w:cs="宋体"/>
          <w:color w:val="000000" w:themeColor="text1"/>
          <w:sz w:val="32"/>
          <w:szCs w:val="32"/>
        </w:rPr>
        <w:t>〈</w:t>
      </w:r>
      <w:r>
        <w:rPr>
          <w:rFonts w:hint="eastAsia" w:ascii="仿宋" w:hAnsi="仿宋" w:eastAsia="仿宋" w:cs="仿宋_GB2312"/>
          <w:color w:val="000000" w:themeColor="text1"/>
          <w:sz w:val="32"/>
          <w:szCs w:val="32"/>
        </w:rPr>
        <w:t>关于改革完善社会救助制度的意见</w:t>
      </w:r>
      <w:r>
        <w:rPr>
          <w:rFonts w:hint="eastAsia" w:ascii="仿宋" w:hAnsi="仿宋" w:eastAsia="仿宋" w:cs="宋体"/>
          <w:sz w:val="32"/>
          <w:szCs w:val="32"/>
        </w:rPr>
        <w:t>〉</w:t>
      </w:r>
      <w:r>
        <w:rPr>
          <w:rFonts w:hint="eastAsia" w:ascii="仿宋" w:hAnsi="仿宋" w:eastAsia="仿宋" w:cs="仿宋_GB2312"/>
          <w:color w:val="000000" w:themeColor="text1"/>
          <w:sz w:val="32"/>
          <w:szCs w:val="32"/>
        </w:rPr>
        <w:t>若干措施》及相关规定，制定本办法。</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第二条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特困人员救助供养工作应当遵循以下原则：</w:t>
      </w:r>
    </w:p>
    <w:p>
      <w:pPr>
        <w:spacing w:line="560" w:lineRule="exact"/>
        <w:ind w:left="559" w:leftChars="266"/>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（一）应救尽救，应养尽养</w:t>
      </w:r>
      <w:r>
        <w:rPr>
          <w:rFonts w:hint="eastAsia" w:ascii="仿宋" w:hAnsi="仿宋" w:eastAsia="仿宋" w:cs="仿宋_GB2312"/>
          <w:color w:val="000000" w:themeColor="text1"/>
          <w:sz w:val="32"/>
          <w:szCs w:val="32"/>
          <w:lang w:eastAsia="zh-CN"/>
        </w:rPr>
        <w:t>；</w:t>
      </w:r>
    </w:p>
    <w:p>
      <w:pPr>
        <w:spacing w:line="560" w:lineRule="exact"/>
        <w:ind w:left="559" w:leftChars="266"/>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（二）属地管理，分级负责；</w:t>
      </w:r>
    </w:p>
    <w:p>
      <w:pPr>
        <w:spacing w:line="560" w:lineRule="exact"/>
        <w:ind w:left="559" w:leftChars="266"/>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（三）严格规范，高效便民；</w:t>
      </w:r>
    </w:p>
    <w:p>
      <w:pPr>
        <w:spacing w:line="560" w:lineRule="exact"/>
        <w:ind w:left="559" w:leftChars="266"/>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（四）公开、公平、公正、公信。</w:t>
      </w: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黑体" w:hAnsi="黑体" w:eastAsia="黑体" w:cs="黑体"/>
          <w:color w:val="000000" w:themeColor="text1"/>
          <w:kern w:val="0"/>
          <w:sz w:val="32"/>
          <w:szCs w:val="32"/>
        </w:rPr>
        <w:t>第三条</w:t>
      </w:r>
      <w:r>
        <w:rPr>
          <w:rFonts w:hint="eastAsia" w:ascii="仿宋" w:hAnsi="仿宋" w:eastAsia="仿宋" w:cs="HTJ-PK74820000008"/>
          <w:color w:val="000000" w:themeColor="text1"/>
          <w:kern w:val="0"/>
          <w:sz w:val="32"/>
          <w:szCs w:val="32"/>
        </w:rPr>
        <w:t xml:space="preserve">  </w:t>
      </w:r>
      <w:r>
        <w:rPr>
          <w:rFonts w:hint="eastAsia" w:ascii="仿宋" w:hAnsi="仿宋" w:eastAsia="仿宋" w:cs="仿宋_GB2312"/>
          <w:color w:val="000000" w:themeColor="text1"/>
          <w:kern w:val="0"/>
          <w:sz w:val="32"/>
          <w:szCs w:val="32"/>
        </w:rPr>
        <w:t>市、区县民政部门统筹做好本行政区域内特困人员救助供养工作。</w:t>
      </w: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仿宋" w:hAnsi="仿宋" w:eastAsia="仿宋" w:cs="仿宋_GB2312"/>
          <w:color w:val="000000" w:themeColor="text1"/>
          <w:kern w:val="0"/>
          <w:sz w:val="32"/>
          <w:szCs w:val="32"/>
        </w:rPr>
        <w:t>镇人民政府（街道办事处）具体负责特困人员救助供养审核、认定、审批工作，村（居）委会协助做好相关工作。</w:t>
      </w:r>
    </w:p>
    <w:p>
      <w:pPr>
        <w:spacing w:line="560" w:lineRule="exact"/>
        <w:jc w:val="center"/>
        <w:rPr>
          <w:rFonts w:ascii="仿宋" w:hAnsi="仿宋" w:eastAsia="仿宋" w:cs="黑体"/>
          <w:color w:val="000000" w:themeColor="text1"/>
          <w:sz w:val="32"/>
          <w:szCs w:val="32"/>
        </w:rPr>
      </w:pPr>
    </w:p>
    <w:p>
      <w:pPr>
        <w:spacing w:line="56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第二章  认定条件</w:t>
      </w:r>
    </w:p>
    <w:p>
      <w:pPr>
        <w:spacing w:line="560" w:lineRule="exact"/>
        <w:ind w:firstLine="640" w:firstLineChars="200"/>
        <w:rPr>
          <w:rFonts w:ascii="仿宋" w:hAnsi="仿宋" w:eastAsia="仿宋" w:cs="黑体"/>
          <w:color w:val="000000" w:themeColor="text1"/>
          <w:sz w:val="32"/>
          <w:szCs w:val="32"/>
        </w:rPr>
      </w:pP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 xml:space="preserve">第四条 </w:t>
      </w:r>
      <w:r>
        <w:rPr>
          <w:rFonts w:hint="eastAsia" w:ascii="仿宋" w:hAnsi="仿宋" w:eastAsia="仿宋" w:cs="仿宋"/>
          <w:color w:val="000000" w:themeColor="text1"/>
          <w:sz w:val="32"/>
          <w:szCs w:val="32"/>
        </w:rPr>
        <w:t xml:space="preserve"> </w:t>
      </w:r>
      <w:r>
        <w:rPr>
          <w:rFonts w:ascii="仿宋" w:hAnsi="仿宋" w:eastAsia="仿宋" w:cs="仿宋_GB2312"/>
          <w:color w:val="000000" w:themeColor="text1"/>
          <w:kern w:val="0"/>
          <w:sz w:val="32"/>
          <w:szCs w:val="32"/>
        </w:rPr>
        <w:t>同时具备以下条件的老年人、残疾人和未成年人，应当依法纳入特困人员救助供养范围：</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（一）无劳动能力；</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（二）无生活来源；</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（三）无法定赡养、抚养、扶养义务人或其法定义务人无履行义务能力。</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黑体"/>
          <w:color w:val="000000" w:themeColor="text1"/>
          <w:sz w:val="32"/>
          <w:szCs w:val="32"/>
        </w:rPr>
        <w:t xml:space="preserve">第五条 </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符合下列情形之一的，应当认定为无劳动能力：</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（一）60周岁以上的老年人</w:t>
      </w:r>
      <w:r>
        <w:rPr>
          <w:rFonts w:hint="eastAsia" w:ascii="仿宋" w:hAnsi="仿宋" w:eastAsia="仿宋" w:cs="仿宋_GB2312"/>
          <w:color w:val="000000" w:themeColor="text1"/>
          <w:sz w:val="32"/>
          <w:szCs w:val="32"/>
          <w:lang w:eastAsia="zh-CN"/>
        </w:rPr>
        <w:t>；</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（二）未满16周岁的未成年人</w:t>
      </w:r>
      <w:r>
        <w:rPr>
          <w:rFonts w:hint="eastAsia" w:ascii="仿宋" w:hAnsi="仿宋" w:eastAsia="仿宋" w:cs="仿宋_GB2312"/>
          <w:color w:val="000000" w:themeColor="text1"/>
          <w:sz w:val="32"/>
          <w:szCs w:val="32"/>
          <w:lang w:eastAsia="zh-CN"/>
        </w:rPr>
        <w:t>；</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（三）残疾等级为一、二、三级的智力、精神残疾人，残疾等级为一、二级的肢体残疾人，残疾等级为一级的视力残疾人。</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 xml:space="preserve">第六条 </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收入低于当地最低生活保障标准，且财产符合当地特困人员财产状况规定的，应当认定为无生活来源。</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收入包括工资性收入、经营净收入、财产净收入、转移净收入等各类收入。中央确定的城乡居民基本养老保险基础养老金、基本医疗保险等社会保险、优待抚恤金、高龄津贴、对国家、社会和人民作出特殊贡献，政府给予的奖励金和特殊津贴、劳动模范荣誉津贴、见义勇为奖励金等不计入在内。</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第七条</w:t>
      </w:r>
      <w:r>
        <w:rPr>
          <w:rFonts w:hint="eastAsia" w:ascii="黑体" w:hAnsi="黑体" w:eastAsia="黑体" w:cs="仿宋"/>
          <w:color w:val="000000" w:themeColor="text1"/>
          <w:sz w:val="32"/>
          <w:szCs w:val="32"/>
        </w:rPr>
        <w:t xml:space="preserve"> </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特困人员财产状况指申请人拥有的全部动产、不动产。包括现金、银行存款、商业保险、证券、基金、理财、债权等金融资产，机动车辆（普通二轮和三轮摩托车、残疾人用于功能型补偿代步的机动车辆除外）、船舶，房屋、地产，开办或者投资企业、个体工商户、农民合作社等形成的资产，其他财产。</w:t>
      </w:r>
      <w:r>
        <w:rPr>
          <w:rFonts w:hint="eastAsia" w:ascii="仿宋" w:hAnsi="仿宋" w:eastAsia="仿宋" w:cs="仿宋_GB2312"/>
          <w:color w:val="000000" w:themeColor="text1"/>
          <w:kern w:val="0"/>
          <w:sz w:val="32"/>
          <w:szCs w:val="32"/>
        </w:rPr>
        <w:t xml:space="preserve"> </w:t>
      </w: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第八条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 xml:space="preserve"> </w:t>
      </w:r>
      <w:r>
        <w:rPr>
          <w:rFonts w:ascii="仿宋" w:hAnsi="仿宋" w:eastAsia="仿宋" w:cs="仿宋_GB2312"/>
          <w:color w:val="000000" w:themeColor="text1"/>
          <w:kern w:val="0"/>
          <w:sz w:val="32"/>
          <w:szCs w:val="32"/>
        </w:rPr>
        <w:t xml:space="preserve">以下情况不能认定为特困人员： </w:t>
      </w:r>
    </w:p>
    <w:p>
      <w:pPr>
        <w:widowControl/>
        <w:spacing w:line="560" w:lineRule="exact"/>
        <w:ind w:firstLine="640" w:firstLineChars="200"/>
        <w:jc w:val="left"/>
        <w:rPr>
          <w:rFonts w:ascii="仿宋" w:hAnsi="仿宋" w:eastAsia="仿宋" w:cs="仿宋_GB2312"/>
          <w:color w:val="000000" w:themeColor="text1"/>
          <w:sz w:val="32"/>
          <w:szCs w:val="32"/>
        </w:rPr>
      </w:pPr>
      <w:r>
        <w:rPr>
          <w:rFonts w:ascii="仿宋" w:hAnsi="仿宋" w:eastAsia="仿宋" w:cs="仿宋_GB2312"/>
          <w:color w:val="000000" w:themeColor="text1"/>
          <w:kern w:val="0"/>
          <w:sz w:val="32"/>
          <w:szCs w:val="32"/>
        </w:rPr>
        <w:t>（一）人均金融资产</w:t>
      </w:r>
      <w:r>
        <w:rPr>
          <w:rFonts w:hint="eastAsia" w:ascii="仿宋" w:hAnsi="仿宋" w:eastAsia="仿宋" w:cs="仿宋_GB2312"/>
          <w:color w:val="000000" w:themeColor="text1"/>
          <w:kern w:val="0"/>
          <w:sz w:val="32"/>
          <w:szCs w:val="32"/>
        </w:rPr>
        <w:t>或</w:t>
      </w:r>
      <w:r>
        <w:rPr>
          <w:rFonts w:hint="eastAsia" w:ascii="仿宋" w:hAnsi="仿宋" w:eastAsia="仿宋" w:cs="仿宋_GB2312"/>
          <w:color w:val="000000" w:themeColor="text1"/>
          <w:w w:val="95"/>
          <w:sz w:val="32"/>
          <w:szCs w:val="32"/>
        </w:rPr>
        <w:t>人均投资数额</w:t>
      </w:r>
      <w:r>
        <w:rPr>
          <w:rFonts w:ascii="仿宋" w:hAnsi="仿宋" w:eastAsia="仿宋" w:cs="仿宋_GB2312"/>
          <w:color w:val="000000" w:themeColor="text1"/>
          <w:kern w:val="0"/>
          <w:sz w:val="32"/>
          <w:szCs w:val="32"/>
        </w:rPr>
        <w:t xml:space="preserve">超过当地年特困人员救助供养基本生活保障标准2倍的； </w:t>
      </w: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仿宋" w:hAnsi="仿宋" w:eastAsia="仿宋" w:cs="仿宋_GB2312"/>
          <w:color w:val="000000" w:themeColor="text1"/>
          <w:kern w:val="0"/>
          <w:sz w:val="32"/>
          <w:szCs w:val="32"/>
        </w:rPr>
        <w:t>（二）拥有两套及以上产权住房的；</w:t>
      </w:r>
      <w:r>
        <w:rPr>
          <w:rFonts w:hint="eastAsia" w:ascii="仿宋" w:hAnsi="仿宋" w:eastAsia="仿宋" w:cs="仿宋_GB2312"/>
          <w:color w:val="000000" w:themeColor="text1"/>
          <w:sz w:val="32"/>
          <w:szCs w:val="32"/>
        </w:rPr>
        <w:t>或者申请特困之前1年内以及享受特困期间购买超过当地住房保障标准面积商品房的；申请特困之前1年内或者享受特困期间，兴建、购买非居住用房或者高标准装修住房的；</w:t>
      </w: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仿宋" w:hAnsi="仿宋" w:eastAsia="仿宋" w:cs="仿宋_GB2312"/>
          <w:color w:val="000000" w:themeColor="text1"/>
          <w:kern w:val="0"/>
          <w:sz w:val="32"/>
          <w:szCs w:val="32"/>
        </w:rPr>
        <w:t>（三）</w:t>
      </w:r>
      <w:r>
        <w:rPr>
          <w:rFonts w:ascii="仿宋" w:hAnsi="仿宋" w:eastAsia="仿宋" w:cs="仿宋_GB2312"/>
          <w:color w:val="000000" w:themeColor="text1"/>
          <w:kern w:val="0"/>
          <w:sz w:val="32"/>
          <w:szCs w:val="32"/>
        </w:rPr>
        <w:t>拥有机动车辆（普通二轮和三轮摩托车、残疾人用于功能型补偿代步的机动车辆除外）、船舶、大型农机具的；</w:t>
      </w:r>
    </w:p>
    <w:p>
      <w:pPr>
        <w:widowControl/>
        <w:spacing w:line="560" w:lineRule="exact"/>
        <w:ind w:firstLine="640" w:firstLineChars="200"/>
        <w:jc w:val="left"/>
        <w:rPr>
          <w:rFonts w:ascii="仿宋" w:hAnsi="仿宋" w:eastAsia="仿宋" w:cs="仿宋_GB2312"/>
          <w:color w:val="000000" w:themeColor="text1"/>
          <w:kern w:val="0"/>
          <w:sz w:val="32"/>
          <w:szCs w:val="32"/>
        </w:rPr>
      </w:pPr>
      <w:r>
        <w:rPr>
          <w:rFonts w:hint="eastAsia" w:ascii="仿宋" w:hAnsi="仿宋" w:eastAsia="仿宋" w:cs="仿宋_GB2312"/>
          <w:color w:val="000000" w:themeColor="text1"/>
          <w:kern w:val="0"/>
          <w:sz w:val="32"/>
          <w:szCs w:val="32"/>
        </w:rPr>
        <w:t>（四）</w:t>
      </w:r>
      <w:r>
        <w:rPr>
          <w:rFonts w:ascii="仿宋" w:hAnsi="仿宋" w:eastAsia="仿宋" w:cs="仿宋_GB2312"/>
          <w:color w:val="000000" w:themeColor="text1"/>
          <w:kern w:val="0"/>
          <w:sz w:val="32"/>
          <w:szCs w:val="32"/>
        </w:rPr>
        <w:t>通过离婚、赠与等方式放弃或转让应得财产份额，或放弃应得赡养费、抚养费、扶养费等经济利益</w:t>
      </w:r>
      <w:r>
        <w:rPr>
          <w:rFonts w:hint="eastAsia" w:ascii="仿宋" w:hAnsi="仿宋" w:eastAsia="仿宋" w:cs="仿宋_GB2312"/>
          <w:color w:val="000000" w:themeColor="text1"/>
          <w:kern w:val="0"/>
          <w:sz w:val="32"/>
          <w:szCs w:val="32"/>
        </w:rPr>
        <w:t>，足以影响对其特困人员身份认定</w:t>
      </w:r>
      <w:r>
        <w:rPr>
          <w:rFonts w:ascii="仿宋" w:hAnsi="仿宋" w:eastAsia="仿宋" w:cs="仿宋_GB2312"/>
          <w:color w:val="000000" w:themeColor="text1"/>
          <w:kern w:val="0"/>
          <w:sz w:val="32"/>
          <w:szCs w:val="32"/>
        </w:rPr>
        <w:t>的；</w:t>
      </w:r>
    </w:p>
    <w:p>
      <w:pPr>
        <w:widowControl/>
        <w:spacing w:line="560" w:lineRule="exact"/>
        <w:ind w:firstLine="608" w:firstLineChars="200"/>
        <w:jc w:val="left"/>
        <w:rPr>
          <w:rFonts w:ascii="仿宋" w:hAnsi="仿宋" w:eastAsia="仿宋" w:cs="仿宋_GB2312"/>
          <w:color w:val="000000" w:themeColor="text1"/>
          <w:w w:val="95"/>
          <w:sz w:val="32"/>
          <w:szCs w:val="32"/>
        </w:rPr>
      </w:pPr>
      <w:r>
        <w:rPr>
          <w:rFonts w:hint="eastAsia" w:ascii="仿宋" w:hAnsi="仿宋" w:eastAsia="仿宋" w:cs="仿宋_GB2312"/>
          <w:color w:val="000000" w:themeColor="text1"/>
          <w:w w:val="95"/>
          <w:sz w:val="32"/>
          <w:szCs w:val="32"/>
        </w:rPr>
        <w:t>（五）拒绝配合经办机构或者经办人员对其家庭状况进行调查，致使无法核实家庭收入和财产的；</w:t>
      </w:r>
    </w:p>
    <w:p>
      <w:pPr>
        <w:spacing w:line="560" w:lineRule="exact"/>
        <w:ind w:firstLine="595" w:firstLineChars="196"/>
        <w:rPr>
          <w:rFonts w:ascii="仿宋" w:hAnsi="仿宋" w:eastAsia="仿宋" w:cs="仿宋_GB2312"/>
          <w:color w:val="000000" w:themeColor="text1"/>
          <w:w w:val="95"/>
          <w:sz w:val="32"/>
          <w:szCs w:val="32"/>
        </w:rPr>
      </w:pPr>
      <w:r>
        <w:rPr>
          <w:rFonts w:hint="eastAsia" w:ascii="仿宋" w:hAnsi="仿宋" w:eastAsia="仿宋" w:cs="仿宋_GB2312"/>
          <w:color w:val="000000" w:themeColor="text1"/>
          <w:w w:val="95"/>
          <w:sz w:val="32"/>
          <w:szCs w:val="32"/>
        </w:rPr>
        <w:t>（六）故意隐瞒家庭人口、收入和财产状况，或者提供虚假申请材料的；</w:t>
      </w:r>
    </w:p>
    <w:p>
      <w:pPr>
        <w:widowControl/>
        <w:spacing w:line="560" w:lineRule="exact"/>
        <w:ind w:firstLine="640" w:firstLineChars="200"/>
        <w:jc w:val="left"/>
        <w:rPr>
          <w:rFonts w:ascii="仿宋" w:hAnsi="仿宋" w:eastAsia="仿宋" w:cs="仿宋_GB2312"/>
          <w:color w:val="000000" w:themeColor="text1"/>
          <w:kern w:val="0"/>
          <w:sz w:val="32"/>
          <w:szCs w:val="32"/>
        </w:rPr>
      </w:pPr>
      <w:r>
        <w:rPr>
          <w:rFonts w:hint="eastAsia" w:ascii="仿宋" w:hAnsi="仿宋" w:eastAsia="仿宋" w:cs="仿宋_GB2312"/>
          <w:color w:val="000000" w:themeColor="text1"/>
          <w:kern w:val="0"/>
          <w:sz w:val="32"/>
          <w:szCs w:val="32"/>
        </w:rPr>
        <w:t>（七）</w:t>
      </w:r>
      <w:r>
        <w:rPr>
          <w:rFonts w:ascii="仿宋" w:hAnsi="仿宋" w:eastAsia="仿宋" w:cs="仿宋_GB2312"/>
          <w:color w:val="000000" w:themeColor="text1"/>
          <w:kern w:val="0"/>
          <w:sz w:val="32"/>
          <w:szCs w:val="32"/>
        </w:rPr>
        <w:t>雇佣他人从事经营性活动的</w:t>
      </w:r>
      <w:r>
        <w:rPr>
          <w:rFonts w:hint="eastAsia" w:ascii="仿宋" w:hAnsi="仿宋" w:eastAsia="仿宋" w:cs="仿宋_GB2312"/>
          <w:color w:val="000000" w:themeColor="text1"/>
          <w:kern w:val="0"/>
          <w:sz w:val="32"/>
          <w:szCs w:val="32"/>
        </w:rPr>
        <w:t>；</w:t>
      </w:r>
    </w:p>
    <w:p>
      <w:pPr>
        <w:widowControl/>
        <w:spacing w:line="560" w:lineRule="exact"/>
        <w:ind w:firstLine="640" w:firstLineChars="200"/>
        <w:jc w:val="left"/>
        <w:rPr>
          <w:rFonts w:ascii="仿宋" w:hAnsi="仿宋" w:eastAsia="仿宋" w:cs="仿宋_GB2312"/>
          <w:color w:val="000000" w:themeColor="text1"/>
          <w:w w:val="95"/>
          <w:sz w:val="32"/>
          <w:szCs w:val="32"/>
        </w:rPr>
      </w:pPr>
      <w:r>
        <w:rPr>
          <w:rFonts w:hint="eastAsia" w:ascii="仿宋" w:hAnsi="仿宋" w:eastAsia="仿宋" w:cs="仿宋_GB2312"/>
          <w:color w:val="000000" w:themeColor="text1"/>
          <w:kern w:val="0"/>
          <w:sz w:val="32"/>
          <w:szCs w:val="32"/>
        </w:rPr>
        <w:t>（八）</w:t>
      </w:r>
      <w:r>
        <w:rPr>
          <w:rFonts w:hint="eastAsia" w:ascii="仿宋" w:hAnsi="仿宋" w:eastAsia="仿宋" w:cs="仿宋_GB2312"/>
          <w:color w:val="000000" w:themeColor="text1"/>
          <w:w w:val="95"/>
          <w:sz w:val="32"/>
          <w:szCs w:val="32"/>
        </w:rPr>
        <w:t>其他实际生活水平明显高于当地</w:t>
      </w:r>
      <w:r>
        <w:rPr>
          <w:rFonts w:ascii="仿宋" w:hAnsi="仿宋" w:eastAsia="仿宋" w:cs="仿宋_GB2312"/>
          <w:color w:val="000000" w:themeColor="text1"/>
          <w:kern w:val="0"/>
          <w:sz w:val="32"/>
          <w:szCs w:val="32"/>
        </w:rPr>
        <w:t>特困人员救助供养基本生活保障标准</w:t>
      </w:r>
      <w:r>
        <w:rPr>
          <w:rFonts w:hint="eastAsia" w:ascii="仿宋" w:hAnsi="仿宋" w:eastAsia="仿宋" w:cs="仿宋_GB2312"/>
          <w:color w:val="000000" w:themeColor="text1"/>
          <w:w w:val="95"/>
          <w:sz w:val="32"/>
          <w:szCs w:val="32"/>
        </w:rPr>
        <w:t>的。</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第九条</w:t>
      </w:r>
      <w:r>
        <w:rPr>
          <w:rFonts w:hint="eastAsia" w:ascii="仿宋" w:hAnsi="仿宋" w:eastAsia="仿宋" w:cs="仿宋_GB2312"/>
          <w:color w:val="000000" w:themeColor="text1"/>
          <w:sz w:val="32"/>
          <w:szCs w:val="32"/>
        </w:rPr>
        <w:t xml:space="preserve">  同时符合特困人员救助供养条件和孤儿、事实无人抚养儿童、重点困境儿童认定条件的未成年人，选择申请纳入孤儿、事实无人抚养儿童、重点困境儿童基本生活保障范围的，不再认定为特困人员。</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第十条</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法定义务人符合下列情形之一的，应当认定为无履行义务能力：</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（一）特困人员； </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（二）60周岁以上的最低生活保障对象； </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（三）70周岁以上的老年人，本人收入低于当地上年度人均可支配收入，且其财产符合当地低保边缘家庭财产状况规定的； </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（四）重度残疾人和残疾等级为三级的智力、精神残疾人，本人收入低于当地上年人均可支配收入，且其财产符合当地低保边缘家庭财产状况规定的； </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（五）无民事行为能力、被宣告失踪或者在监狱服刑的人员，且其财产符合当地低保边缘家庭财产状况规定的。</w:t>
      </w:r>
    </w:p>
    <w:p>
      <w:pPr>
        <w:spacing w:line="560" w:lineRule="exact"/>
        <w:jc w:val="center"/>
        <w:rPr>
          <w:rFonts w:ascii="仿宋" w:hAnsi="仿宋" w:eastAsia="仿宋" w:cs="黑体"/>
          <w:color w:val="000000" w:themeColor="text1"/>
          <w:sz w:val="32"/>
          <w:szCs w:val="32"/>
        </w:rPr>
      </w:pPr>
    </w:p>
    <w:p>
      <w:pPr>
        <w:spacing w:line="56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第三章  申请、审核、确认</w:t>
      </w:r>
    </w:p>
    <w:p>
      <w:pPr>
        <w:spacing w:line="560" w:lineRule="exact"/>
        <w:ind w:firstLine="640" w:firstLineChars="200"/>
        <w:rPr>
          <w:rFonts w:ascii="仿宋" w:hAnsi="仿宋" w:eastAsia="仿宋" w:cs="仿宋"/>
          <w:color w:val="000000" w:themeColor="text1"/>
          <w:sz w:val="32"/>
          <w:szCs w:val="32"/>
        </w:rPr>
      </w:pPr>
    </w:p>
    <w:p>
      <w:pPr>
        <w:pStyle w:val="6"/>
        <w:numPr>
          <w:ilvl w:val="255"/>
          <w:numId w:val="0"/>
        </w:numPr>
        <w:spacing w:beforeAutospacing="0" w:afterAutospacing="0" w:line="560" w:lineRule="exact"/>
        <w:ind w:firstLine="640" w:firstLineChars="200"/>
        <w:jc w:val="both"/>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第十一条</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申请特困人员认定，应当由本人向户籍所在地镇人民政府（街道办事处）提出书面申请。本人申请有困难的，可以委托村（居）民委员会或者他人代为提出申请。</w:t>
      </w:r>
    </w:p>
    <w:p>
      <w:pPr>
        <w:pStyle w:val="6"/>
        <w:spacing w:beforeAutospacing="0" w:afterAutospacing="0" w:line="560" w:lineRule="exact"/>
        <w:ind w:firstLine="640" w:firstLineChars="20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申请材料主要包括本人有效身份证明，劳动能力、生活来源、财产状况以及赡养、抚养、扶养情况的书面声明，承诺所提供信息真实、完整的承诺书。残疾人应当提供中华人民共和国残疾人证。</w:t>
      </w:r>
    </w:p>
    <w:p>
      <w:pPr>
        <w:pStyle w:val="6"/>
        <w:spacing w:beforeAutospacing="0" w:afterAutospacing="0" w:line="560" w:lineRule="exact"/>
        <w:ind w:firstLine="48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申请人及其法定义务人应当履行授权核查家庭经济状况的相关手续。</w:t>
      </w:r>
    </w:p>
    <w:p>
      <w:pPr>
        <w:pStyle w:val="6"/>
        <w:spacing w:beforeAutospacing="0" w:afterAutospacing="0" w:line="560" w:lineRule="exact"/>
        <w:ind w:firstLine="640"/>
        <w:jc w:val="both"/>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第十二条</w:t>
      </w:r>
      <w:r>
        <w:rPr>
          <w:rFonts w:hint="eastAsia" w:ascii="仿宋" w:hAnsi="仿宋" w:eastAsia="仿宋" w:cs="宋体"/>
          <w:color w:val="000000" w:themeColor="text1"/>
          <w:sz w:val="32"/>
          <w:szCs w:val="32"/>
        </w:rPr>
        <w:t xml:space="preserve">  </w:t>
      </w:r>
      <w:r>
        <w:rPr>
          <w:rFonts w:hint="eastAsia" w:ascii="仿宋" w:hAnsi="仿宋" w:eastAsia="仿宋" w:cs="仿宋_GB2312"/>
          <w:color w:val="000000" w:themeColor="text1"/>
          <w:sz w:val="32"/>
          <w:szCs w:val="32"/>
        </w:rPr>
        <w:t xml:space="preserve">镇人民政府（街道办事处）、村（居）民委员会应当及时了解掌握辖区内居民的生活情况，主动发现可能符合特困人员救助供养条件的人员，主动告知救助供养政策，对因无民事行为能力或限制民事行为能力等原因无法提出申请的，应当主动帮助其申请。 </w:t>
      </w:r>
    </w:p>
    <w:p>
      <w:pPr>
        <w:spacing w:line="560" w:lineRule="exact"/>
        <w:ind w:firstLine="640" w:firstLineChars="200"/>
        <w:rPr>
          <w:rFonts w:ascii="仿宋" w:hAnsi="仿宋" w:eastAsia="仿宋" w:cs="宋体"/>
          <w:color w:val="000000" w:themeColor="text1"/>
          <w:sz w:val="32"/>
          <w:szCs w:val="32"/>
        </w:rPr>
      </w:pPr>
      <w:r>
        <w:rPr>
          <w:rFonts w:hint="eastAsia" w:ascii="黑体" w:hAnsi="黑体" w:eastAsia="黑体" w:cs="黑体"/>
          <w:color w:val="000000" w:themeColor="text1"/>
          <w:sz w:val="32"/>
          <w:szCs w:val="32"/>
        </w:rPr>
        <w:t>第十三条</w:t>
      </w:r>
      <w:r>
        <w:rPr>
          <w:rFonts w:hint="eastAsia" w:ascii="黑体" w:hAnsi="黑体" w:eastAsia="黑体" w:cs="宋体"/>
          <w:color w:val="000000" w:themeColor="text1"/>
          <w:sz w:val="32"/>
          <w:szCs w:val="32"/>
        </w:rPr>
        <w:t xml:space="preserve"> </w:t>
      </w:r>
      <w:r>
        <w:rPr>
          <w:rFonts w:hint="eastAsia" w:ascii="仿宋" w:hAnsi="仿宋" w:eastAsia="仿宋" w:cs="宋体"/>
          <w:color w:val="000000" w:themeColor="text1"/>
          <w:sz w:val="32"/>
          <w:szCs w:val="32"/>
        </w:rPr>
        <w:t xml:space="preserve"> </w:t>
      </w:r>
      <w:r>
        <w:rPr>
          <w:rFonts w:hint="eastAsia" w:ascii="仿宋" w:hAnsi="仿宋" w:eastAsia="仿宋" w:cs="仿宋_GB2312"/>
          <w:color w:val="000000" w:themeColor="text1"/>
          <w:sz w:val="32"/>
          <w:szCs w:val="32"/>
        </w:rPr>
        <w:t>镇人民政府（街道办事处）应当对申请人或者其代理人提交的材料进行审查，材料齐备的，予以受理；材料不齐备的，应当一次性告知申请人或者其代理人补齐所有规定材料。</w:t>
      </w:r>
      <w:r>
        <w:rPr>
          <w:rFonts w:ascii="仿宋" w:hAnsi="仿宋" w:eastAsia="仿宋" w:cs="宋体"/>
          <w:color w:val="000000" w:themeColor="text1"/>
          <w:sz w:val="32"/>
          <w:szCs w:val="32"/>
        </w:rPr>
        <w:t xml:space="preserve"> </w:t>
      </w:r>
    </w:p>
    <w:p>
      <w:pPr>
        <w:spacing w:line="560" w:lineRule="exact"/>
        <w:ind w:firstLine="640" w:firstLineChars="200"/>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第十四条</w:t>
      </w:r>
      <w:r>
        <w:rPr>
          <w:rFonts w:hint="eastAsia" w:ascii="仿宋" w:hAnsi="仿宋" w:eastAsia="仿宋" w:cs="宋体"/>
          <w:color w:val="000000" w:themeColor="text1"/>
          <w:sz w:val="32"/>
          <w:szCs w:val="32"/>
        </w:rPr>
        <w:t xml:space="preserve">  </w:t>
      </w:r>
      <w:r>
        <w:rPr>
          <w:rFonts w:hint="eastAsia" w:ascii="仿宋" w:hAnsi="仿宋" w:eastAsia="仿宋" w:cs="仿宋_GB2312"/>
          <w:color w:val="000000" w:themeColor="text1"/>
          <w:sz w:val="32"/>
          <w:szCs w:val="32"/>
        </w:rPr>
        <w:t>镇人民政府（街道办事处）对申请人进行家庭经济状况核对，对符合特困人员供养财产状况认定标准的，应当自受理申请之日起 10个工作日内，通过入户调查、邻里访问、信函索证、信息核对等方式，对申请人的经济状况、实际生活状况以及赡养、抚养、扶养状况等进行调查核实，并提出审核意见。申请人以及有关单位、组织或者个人应当配合调查，如实提供有关情况。村（居）民委员会应当协助镇人民政府（街道办事处）开展调查核实。</w:t>
      </w:r>
      <w:r>
        <w:rPr>
          <w:rFonts w:hint="eastAsia" w:ascii="仿宋" w:hAnsi="仿宋" w:eastAsia="仿宋" w:cs="仿宋"/>
          <w:color w:val="000000" w:themeColor="text1"/>
          <w:sz w:val="32"/>
          <w:szCs w:val="32"/>
        </w:rPr>
        <w:t xml:space="preserve"> </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第十五条</w:t>
      </w:r>
      <w:r>
        <w:rPr>
          <w:rFonts w:ascii="仿宋" w:hAnsi="仿宋" w:eastAsia="仿宋" w:cs="宋体"/>
          <w:color w:val="000000" w:themeColor="text1"/>
          <w:sz w:val="32"/>
          <w:szCs w:val="32"/>
        </w:rPr>
        <w:t xml:space="preserve"> </w:t>
      </w:r>
      <w:r>
        <w:rPr>
          <w:rFonts w:hint="eastAsia" w:ascii="仿宋" w:hAnsi="仿宋" w:eastAsia="仿宋" w:cs="宋体"/>
          <w:color w:val="000000" w:themeColor="text1"/>
          <w:sz w:val="32"/>
          <w:szCs w:val="32"/>
        </w:rPr>
        <w:t xml:space="preserve"> </w:t>
      </w:r>
      <w:r>
        <w:rPr>
          <w:rFonts w:hint="eastAsia" w:ascii="仿宋" w:hAnsi="仿宋" w:eastAsia="仿宋" w:cs="仿宋_GB2312"/>
          <w:color w:val="000000" w:themeColor="text1"/>
          <w:sz w:val="32"/>
          <w:szCs w:val="32"/>
        </w:rPr>
        <w:t xml:space="preserve">镇人民政府（街道办事处）对符合特困供养条件的，在申请人所在村（社区）公示，公示期7天。公示期满无异议的，应当在3个工作日内作出确认决定。对公示有异议的，区县民政部门应当组织调查核实，在10个工作日内重新提出审核意见。 </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第十六条</w:t>
      </w:r>
      <w:r>
        <w:rPr>
          <w:rFonts w:ascii="仿宋" w:hAnsi="仿宋" w:eastAsia="仿宋" w:cs="宋体"/>
          <w:color w:val="000000" w:themeColor="text1"/>
          <w:sz w:val="32"/>
          <w:szCs w:val="32"/>
        </w:rPr>
        <w:t xml:space="preserve"> </w:t>
      </w:r>
      <w:r>
        <w:rPr>
          <w:rFonts w:hint="eastAsia" w:ascii="仿宋" w:hAnsi="仿宋" w:eastAsia="仿宋" w:cs="宋体"/>
          <w:color w:val="000000" w:themeColor="text1"/>
          <w:sz w:val="32"/>
          <w:szCs w:val="32"/>
        </w:rPr>
        <w:t xml:space="preserve"> </w:t>
      </w:r>
      <w:r>
        <w:rPr>
          <w:rFonts w:hint="eastAsia" w:ascii="仿宋" w:hAnsi="仿宋" w:eastAsia="仿宋" w:cs="仿宋_GB2312"/>
          <w:color w:val="000000" w:themeColor="text1"/>
          <w:sz w:val="32"/>
          <w:szCs w:val="32"/>
        </w:rPr>
        <w:t xml:space="preserve">对符合救助供养条件的，镇人民政府（街道办事处）应当及时予以确认，同时确定申请人的生活自理能力，建立完善的救助供养档案，报区县民政部门备案。从确认之日下月起给予救助供养待遇。 </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第十七条</w:t>
      </w:r>
      <w:r>
        <w:rPr>
          <w:rFonts w:hint="eastAsia" w:ascii="仿宋" w:hAnsi="仿宋" w:eastAsia="仿宋" w:cs="宋体"/>
          <w:color w:val="000000" w:themeColor="text1"/>
          <w:sz w:val="32"/>
          <w:szCs w:val="32"/>
        </w:rPr>
        <w:t xml:space="preserve">  </w:t>
      </w:r>
      <w:r>
        <w:rPr>
          <w:rFonts w:hint="eastAsia" w:ascii="仿宋" w:hAnsi="仿宋" w:eastAsia="仿宋" w:cs="仿宋_GB2312"/>
          <w:color w:val="000000" w:themeColor="text1"/>
          <w:sz w:val="32"/>
          <w:szCs w:val="32"/>
        </w:rPr>
        <w:t>对不符合救助供养条件的，镇人民政府（街道办事处）不予确认，并在作出决定3个工作日内书面告知申请人或者其代理人并说明理由。</w:t>
      </w:r>
    </w:p>
    <w:p>
      <w:pPr>
        <w:spacing w:line="560" w:lineRule="exact"/>
        <w:ind w:firstLine="640" w:firstLineChars="200"/>
        <w:rPr>
          <w:rFonts w:ascii="仿宋" w:hAnsi="仿宋" w:eastAsia="仿宋" w:cs="黑体"/>
          <w:color w:val="000000" w:themeColor="text1"/>
          <w:sz w:val="32"/>
          <w:szCs w:val="32"/>
        </w:rPr>
      </w:pPr>
    </w:p>
    <w:p>
      <w:pPr>
        <w:widowControl/>
        <w:numPr>
          <w:ilvl w:val="0"/>
          <w:numId w:val="1"/>
        </w:numPr>
        <w:spacing w:line="56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 生活自理能力评估</w:t>
      </w:r>
    </w:p>
    <w:p>
      <w:pPr>
        <w:widowControl/>
        <w:spacing w:line="560" w:lineRule="exact"/>
        <w:rPr>
          <w:rFonts w:ascii="仿宋" w:hAnsi="仿宋" w:eastAsia="仿宋" w:cs="黑体"/>
          <w:color w:val="000000" w:themeColor="text1"/>
          <w:sz w:val="32"/>
          <w:szCs w:val="32"/>
        </w:rPr>
      </w:pP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第十八条</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对于确认为特困人员的，镇人民政府（街道办事处）应当在给予其救助供养待遇之前，组织开展生活自理能力评估，确定特困人员自理状况。有条件的地方，可以委托第三方机构开展特困人员生活自理能力评估。生活自理能力复核评估每年开展一次。</w:t>
      </w: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第十九条</w:t>
      </w:r>
      <w:r>
        <w:rPr>
          <w:rFonts w:hint="eastAsia" w:ascii="仿宋" w:hAnsi="仿宋" w:eastAsia="仿宋" w:cs="黑体"/>
          <w:color w:val="000000" w:themeColor="text1"/>
          <w:sz w:val="32"/>
          <w:szCs w:val="32"/>
        </w:rPr>
        <w:t xml:space="preserve"> </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 xml:space="preserve">特困人员生活自理能力参照济南市老年人照护需求评估管理办法有关规定进行评估。照护0级、照护1级为具备生活自理能力；照护2级—4级为部分丧失生活自理能力；照护5级、照护6级为完全丧失生活自理能力。 </w:t>
      </w: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第二十条</w:t>
      </w:r>
      <w:r>
        <w:rPr>
          <w:rFonts w:ascii="黑体" w:hAnsi="黑体" w:eastAsia="黑体" w:cs="宋体"/>
          <w:color w:val="000000" w:themeColor="text1"/>
          <w:sz w:val="32"/>
          <w:szCs w:val="32"/>
        </w:rPr>
        <w:t xml:space="preserve"> </w:t>
      </w:r>
      <w:r>
        <w:rPr>
          <w:rFonts w:hint="eastAsia" w:ascii="仿宋" w:hAnsi="仿宋" w:eastAsia="仿宋" w:cs="宋体"/>
          <w:color w:val="000000" w:themeColor="text1"/>
          <w:sz w:val="32"/>
          <w:szCs w:val="32"/>
        </w:rPr>
        <w:t xml:space="preserve"> </w:t>
      </w:r>
      <w:r>
        <w:rPr>
          <w:rFonts w:hint="eastAsia" w:ascii="仿宋" w:hAnsi="仿宋" w:eastAsia="仿宋" w:cs="仿宋_GB2312"/>
          <w:color w:val="000000" w:themeColor="text1"/>
          <w:sz w:val="32"/>
          <w:szCs w:val="32"/>
        </w:rPr>
        <w:t>特困人员生活自理能力发生变化的，本人、照料服务人、村（居）民委员会或者供养服务机构应当及时报告镇人民政府（街道办事处），镇人民政府（街道办事处）应当自接到报告之日起10个工作日内组织复核评估，并根据评估结果及时调整特困人员生活自理能力认定类别。</w:t>
      </w:r>
    </w:p>
    <w:p>
      <w:pPr>
        <w:spacing w:line="560" w:lineRule="exact"/>
        <w:ind w:firstLine="640" w:firstLineChars="200"/>
        <w:rPr>
          <w:rFonts w:ascii="仿宋" w:hAnsi="仿宋" w:eastAsia="仿宋" w:cs="仿宋_GB2312"/>
          <w:color w:val="000000" w:themeColor="text1"/>
          <w:sz w:val="32"/>
          <w:szCs w:val="32"/>
        </w:rPr>
      </w:pPr>
    </w:p>
    <w:p>
      <w:pPr>
        <w:spacing w:line="56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第五章  供养服务和照料监护</w:t>
      </w:r>
    </w:p>
    <w:p>
      <w:pPr>
        <w:spacing w:line="560" w:lineRule="exact"/>
        <w:ind w:firstLine="640" w:firstLineChars="200"/>
        <w:rPr>
          <w:rFonts w:ascii="仿宋" w:hAnsi="仿宋" w:eastAsia="仿宋" w:cs="黑体"/>
          <w:color w:val="000000" w:themeColor="text1"/>
          <w:sz w:val="32"/>
          <w:szCs w:val="32"/>
        </w:rPr>
      </w:pPr>
    </w:p>
    <w:p>
      <w:pPr>
        <w:spacing w:line="560" w:lineRule="exact"/>
        <w:ind w:firstLine="640" w:firstLineChars="200"/>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第二十一条</w:t>
      </w:r>
      <w:r>
        <w:rPr>
          <w:rFonts w:hint="eastAsia" w:ascii="仿宋" w:hAnsi="仿宋" w:eastAsia="仿宋" w:cs="微软雅黑"/>
          <w:color w:val="000000" w:themeColor="text1"/>
          <w:sz w:val="32"/>
          <w:szCs w:val="32"/>
        </w:rPr>
        <w:t>　</w:t>
      </w:r>
      <w:r>
        <w:rPr>
          <w:rFonts w:hint="eastAsia" w:ascii="仿宋" w:hAnsi="仿宋" w:eastAsia="仿宋" w:cs="仿宋_GB2312"/>
          <w:color w:val="000000" w:themeColor="text1"/>
          <w:sz w:val="32"/>
          <w:szCs w:val="32"/>
        </w:rPr>
        <w:t>特困人员救助供养形式分为分散供养和集中供养。特困人员依法享有自主选择救助供养形式的权利。评定为完全或者部分丧失生活自理能力的，特别是精神类特困人员，优先提供集中供养服务，原则上全部集中供养。</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第二十二条</w:t>
      </w:r>
      <w:r>
        <w:rPr>
          <w:rFonts w:ascii="黑体" w:hAnsi="黑体" w:eastAsia="黑体" w:cs="黑体"/>
          <w:color w:val="000000" w:themeColor="text1"/>
          <w:sz w:val="32"/>
          <w:szCs w:val="32"/>
        </w:rPr>
        <w:t xml:space="preserve"> </w:t>
      </w:r>
      <w:r>
        <w:rPr>
          <w:rFonts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对需要集中供养的特困人员，按照便于管理的原则，就近安排其至相应的供养服务机构或社会福利机构；未满18周岁的，安置到儿童福利机构供养。也可采取政府购买服务方式，安排至其他养老服务机构接受供养。具体由区县民政部门或镇人民政府（街道办事处）与供养服务机构协调，供养服务机构无理由不得拒收。特困人员、照料服务人员、村（居）民委员会、镇人民政府（街道办事处）四方签订集中供养协议，明确各方权利和义务。</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 xml:space="preserve">第二十三条 </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对选择分散供养的特困人员，经本人同意，镇人民政府（街道办事处）可委托其亲友或村（居）民委员会、供养服务机构、农村幸福院、日间照料中心、社会组织、社会工作服务机构等提供日常看护、生活照料、住院陪护等服务，并签订相关协议，明确各方权利和义务。</w:t>
      </w:r>
    </w:p>
    <w:p>
      <w:pPr>
        <w:pStyle w:val="6"/>
        <w:widowControl/>
        <w:spacing w:beforeAutospacing="0" w:afterAutospacing="0" w:line="560" w:lineRule="exact"/>
        <w:ind w:firstLine="640" w:firstLineChars="200"/>
        <w:jc w:val="both"/>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第二十四条</w:t>
      </w:r>
      <w:r>
        <w:rPr>
          <w:rFonts w:hint="eastAsia" w:ascii="仿宋" w:hAnsi="仿宋" w:eastAsia="仿宋" w:cs="微软雅黑"/>
          <w:color w:val="000000" w:themeColor="text1"/>
          <w:sz w:val="32"/>
          <w:szCs w:val="32"/>
        </w:rPr>
        <w:t>　</w:t>
      </w:r>
      <w:r>
        <w:rPr>
          <w:rFonts w:hint="eastAsia" w:ascii="仿宋" w:hAnsi="仿宋" w:eastAsia="仿宋" w:cs="仿宋_GB2312"/>
          <w:color w:val="000000" w:themeColor="text1"/>
          <w:sz w:val="32"/>
          <w:szCs w:val="32"/>
        </w:rPr>
        <w:t>镇人民政府（街道办事处）应当为分散供养特困人员确定照料服务人，由照料服务人为其提供日常看护、生活照料等服务。镇人民政府（街道办事处）负责组织签订《分散供养特困人员照料服务协议》，明确镇人民政府（街道办事处）、村（居）民委员会、照料服务人员（机构）和分散供养特困人员四方相应的权利义务和责任，并根据特困人员的自理状况和服务需求确定相应的服务标准。</w:t>
      </w:r>
    </w:p>
    <w:p>
      <w:pPr>
        <w:widowControl/>
        <w:ind w:firstLine="640" w:firstLineChars="200"/>
        <w:jc w:val="left"/>
        <w:rPr>
          <w:rFonts w:ascii="仿宋" w:hAnsi="仿宋" w:eastAsia="仿宋"/>
        </w:rPr>
      </w:pPr>
      <w:r>
        <w:rPr>
          <w:rFonts w:hint="eastAsia" w:ascii="黑体" w:hAnsi="黑体" w:eastAsia="黑体" w:cs="黑体"/>
          <w:color w:val="000000" w:themeColor="text1"/>
          <w:sz w:val="32"/>
          <w:szCs w:val="32"/>
        </w:rPr>
        <w:t>第二十五条</w:t>
      </w:r>
      <w:r>
        <w:rPr>
          <w:rFonts w:hint="eastAsia" w:ascii="仿宋" w:hAnsi="仿宋" w:eastAsia="仿宋" w:cs="黑体"/>
          <w:color w:val="000000" w:themeColor="text1"/>
          <w:sz w:val="32"/>
          <w:szCs w:val="32"/>
        </w:rPr>
        <w:t xml:space="preserve"> </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镇人民政府（街道办事处）应当建立分散供养对象联系帮扶制度，</w:t>
      </w:r>
      <w:r>
        <w:rPr>
          <w:rFonts w:hint="eastAsia" w:ascii="仿宋" w:hAnsi="仿宋" w:eastAsia="仿宋" w:cs="仿宋_GB2312"/>
          <w:color w:val="000000"/>
          <w:kern w:val="0"/>
          <w:sz w:val="32"/>
          <w:szCs w:val="32"/>
        </w:rPr>
        <w:t>每周安排</w:t>
      </w:r>
      <w:r>
        <w:rPr>
          <w:rFonts w:hint="eastAsia" w:ascii="仿宋" w:hAnsi="仿宋" w:eastAsia="仿宋" w:cs="仿宋_GB2312"/>
          <w:color w:val="000000" w:themeColor="text1"/>
          <w:sz w:val="32"/>
          <w:szCs w:val="32"/>
        </w:rPr>
        <w:t>村（社区）</w:t>
      </w:r>
      <w:r>
        <w:rPr>
          <w:rFonts w:ascii="仿宋" w:hAnsi="仿宋" w:eastAsia="仿宋" w:cs="仿宋_GB2312"/>
          <w:color w:val="000000"/>
          <w:kern w:val="0"/>
          <w:sz w:val="32"/>
          <w:szCs w:val="32"/>
        </w:rPr>
        <w:t>探望分散供养对象，帮助其解决生活上的困难。分散特困供养要做到“三清”</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应保人数底数清、自理状况底数清、供养需求底数清</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“五有”</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有照护协议、服务标准、定期探访、动态管理、应急预案</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“一卡”</w:t>
      </w:r>
      <w:r>
        <w:rPr>
          <w:rFonts w:hint="eastAsia" w:ascii="仿宋" w:hAnsi="仿宋" w:eastAsia="仿宋" w:cs="仿宋_GB2312"/>
          <w:color w:val="000000"/>
          <w:kern w:val="0"/>
          <w:sz w:val="32"/>
          <w:szCs w:val="32"/>
        </w:rPr>
        <w:t>（即</w:t>
      </w:r>
      <w:r>
        <w:rPr>
          <w:rFonts w:ascii="仿宋" w:hAnsi="仿宋" w:eastAsia="仿宋" w:cs="仿宋_GB2312"/>
          <w:color w:val="000000"/>
          <w:kern w:val="0"/>
          <w:sz w:val="32"/>
          <w:szCs w:val="32"/>
        </w:rPr>
        <w:t>照料服务卡，包含资金发放标准、生活自理能力、照料监护人和监督电话等</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，全面规范特困人员照料服务工作。</w:t>
      </w:r>
    </w:p>
    <w:p>
      <w:pPr>
        <w:widowControl/>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 xml:space="preserve">第二十六条 </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以区县为单位全面建立特困人员分类管理档案。集中供养的特困人员档案由供养服务机构负责管理维护，分散供养的特困人员档案由镇人民政府（街道办事处）负责管理维护。</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 xml:space="preserve">第二十七条 </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区县民政部门或镇人民政府（街道办事处）应对法律规定的无民事行为能力和限制民事行为能力的特困人员的监护人进行确认。对无法定近亲属监护人、法定近亲属监护人无监护能力和没有意愿担任监护人的，由具备履行监护职责条件的特困人员户籍地村（居）民委员会或民政部门担任监护人。照料监护人（机构）没有履行职责、义务的，区县民政部门或镇人民政府（街道办事处）应责令其限期改正。</w:t>
      </w:r>
    </w:p>
    <w:p>
      <w:pPr>
        <w:spacing w:line="560" w:lineRule="exact"/>
        <w:jc w:val="center"/>
        <w:rPr>
          <w:rFonts w:ascii="仿宋" w:hAnsi="仿宋" w:eastAsia="仿宋" w:cs="黑体"/>
          <w:color w:val="000000" w:themeColor="text1"/>
          <w:sz w:val="32"/>
          <w:szCs w:val="32"/>
        </w:rPr>
      </w:pPr>
    </w:p>
    <w:p>
      <w:pPr>
        <w:spacing w:line="56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第六章  供养标准和内容</w:t>
      </w:r>
    </w:p>
    <w:p>
      <w:pPr>
        <w:spacing w:line="560" w:lineRule="exact"/>
        <w:ind w:firstLine="640" w:firstLineChars="200"/>
        <w:rPr>
          <w:rFonts w:ascii="仿宋" w:hAnsi="仿宋" w:eastAsia="仿宋" w:cs="黑体"/>
          <w:color w:val="000000" w:themeColor="text1"/>
          <w:sz w:val="32"/>
          <w:szCs w:val="32"/>
        </w:rPr>
      </w:pP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第二十八条</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 xml:space="preserve"> 特困人员救助供养标准包括基本生活标准和照料护理标准两部分，可根据当地经济社会发展水平和物价变化情况适时进行调整。</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（一）基本生活标准：按照不低于当地低保标准的1.3倍确定。</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（二）照料护理标准</w:t>
      </w:r>
      <w:r>
        <w:rPr>
          <w:rFonts w:hint="eastAsia" w:ascii="仿宋" w:hAnsi="仿宋" w:eastAsia="仿宋" w:cs="仿宋_GB2312"/>
          <w:color w:val="000000" w:themeColor="text1"/>
          <w:sz w:val="32"/>
          <w:szCs w:val="32"/>
          <w:lang w:eastAsia="zh-CN"/>
        </w:rPr>
        <w:t>：</w:t>
      </w:r>
      <w:r>
        <w:rPr>
          <w:rFonts w:hint="eastAsia" w:ascii="仿宋" w:hAnsi="仿宋" w:eastAsia="仿宋" w:cs="仿宋_GB2312"/>
          <w:color w:val="000000" w:themeColor="text1"/>
          <w:sz w:val="32"/>
          <w:szCs w:val="32"/>
        </w:rPr>
        <w:t>分为具备生活自理能力（全自理）、部分丧失生活自理能力（半自理）和完全丧失生活自理能力（全护理）三个档次。照料护理标准按照差异化服务原则</w:t>
      </w:r>
      <w:r>
        <w:rPr>
          <w:rFonts w:hint="eastAsia" w:ascii="仿宋" w:hAnsi="仿宋" w:eastAsia="仿宋" w:cs="仿宋_GB2312"/>
          <w:color w:val="000000" w:themeColor="text1"/>
          <w:sz w:val="32"/>
          <w:szCs w:val="32"/>
          <w:lang w:eastAsia="zh-CN"/>
        </w:rPr>
        <w:t>，</w:t>
      </w:r>
      <w:r>
        <w:rPr>
          <w:rFonts w:hint="eastAsia" w:ascii="仿宋" w:hAnsi="仿宋" w:eastAsia="仿宋" w:cs="仿宋_GB2312"/>
          <w:color w:val="000000" w:themeColor="text1"/>
          <w:sz w:val="32"/>
          <w:szCs w:val="32"/>
        </w:rPr>
        <w:t>依据特困人员生活自理能力和服务需求分档制定</w:t>
      </w:r>
      <w:r>
        <w:rPr>
          <w:rFonts w:hint="eastAsia" w:ascii="仿宋" w:hAnsi="仿宋" w:eastAsia="仿宋" w:cs="仿宋_GB2312"/>
          <w:color w:val="000000" w:themeColor="text1"/>
          <w:sz w:val="32"/>
          <w:szCs w:val="32"/>
          <w:lang w:eastAsia="zh-CN"/>
        </w:rPr>
        <w:t>，</w:t>
      </w:r>
      <w:r>
        <w:rPr>
          <w:rFonts w:hint="eastAsia" w:ascii="仿宋" w:hAnsi="仿宋" w:eastAsia="仿宋" w:cs="仿宋_GB2312"/>
          <w:color w:val="000000" w:themeColor="text1"/>
          <w:sz w:val="32"/>
          <w:szCs w:val="32"/>
        </w:rPr>
        <w:t>分别按照不低于当地上年度最低工资标准的1/10、1/6、1/3确定。</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第二十九条</w:t>
      </w:r>
      <w:r>
        <w:rPr>
          <w:rFonts w:hint="eastAsia" w:ascii="黑体" w:hAnsi="黑体" w:eastAsia="黑体" w:cs="仿宋"/>
          <w:color w:val="000000" w:themeColor="text1"/>
          <w:sz w:val="32"/>
          <w:szCs w:val="32"/>
        </w:rPr>
        <w:t xml:space="preserve"> </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各区县按照属地管理的原则，强化托底保障功能，为城乡特困人员提供基本生活、照料服务、疾病治疗、住房保障、殡葬服务和教育救助等方面保障，做到应救尽救，应养尽养。</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（一）保障基本生活。包括供给粮油、副食品、生活用燃料、服装、被褥等日常生活用品和零用钱。可以通过实物或者按照基本生活标准发放现金的方式予以保障。</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（二）提供照料服务。对生活不能自理的特困供养人员提供包括日常生活、住院期间的必要照料等基本服务。可通过集中供养、签订协议等形式提供照料护理。</w:t>
      </w:r>
    </w:p>
    <w:p>
      <w:pPr>
        <w:spacing w:line="560" w:lineRule="exact"/>
        <w:ind w:firstLine="640" w:firstLineChars="200"/>
        <w:rPr>
          <w:rFonts w:hint="eastAsia" w:ascii="仿宋" w:hAnsi="仿宋" w:eastAsia="仿宋" w:cs="仿宋_GB2312"/>
          <w:color w:val="000000" w:themeColor="text1"/>
          <w:sz w:val="32"/>
          <w:szCs w:val="32"/>
          <w:lang w:eastAsia="zh-CN"/>
        </w:rPr>
      </w:pPr>
      <w:r>
        <w:rPr>
          <w:rFonts w:hint="eastAsia" w:ascii="仿宋" w:hAnsi="仿宋" w:eastAsia="仿宋" w:cs="仿宋_GB2312"/>
          <w:color w:val="000000" w:themeColor="text1"/>
          <w:sz w:val="32"/>
          <w:szCs w:val="32"/>
        </w:rPr>
        <w:t>（三）提供医疗保障。参加居民基本医疗保险的个人缴费部分，由各区县财政部门给予全额资助。</w:t>
      </w:r>
      <w:r>
        <w:rPr>
          <w:rFonts w:hint="eastAsia" w:ascii="仿宋" w:hAnsi="仿宋" w:eastAsia="仿宋" w:cs="仿宋_GB2312"/>
          <w:color w:val="000000" w:themeColor="text1"/>
          <w:sz w:val="32"/>
          <w:szCs w:val="32"/>
          <w:lang w:eastAsia="zh-CN"/>
        </w:rPr>
        <w:t>符合条件的纳入长护险。</w:t>
      </w:r>
    </w:p>
    <w:p>
      <w:pPr>
        <w:spacing w:line="560" w:lineRule="exact"/>
        <w:rPr>
          <w:rFonts w:hint="eastAsia" w:ascii="仿宋" w:hAnsi="仿宋" w:eastAsia="仿宋" w:cs="仿宋_GB2312"/>
          <w:color w:val="000000" w:themeColor="text1"/>
          <w:sz w:val="32"/>
          <w:szCs w:val="32"/>
          <w:lang w:eastAsia="zh-CN"/>
        </w:rPr>
      </w:pPr>
      <w:r>
        <w:rPr>
          <w:rFonts w:hint="eastAsia" w:ascii="仿宋" w:hAnsi="仿宋" w:eastAsia="仿宋" w:cs="仿宋_GB2312"/>
          <w:color w:val="000000" w:themeColor="text1"/>
          <w:sz w:val="32"/>
          <w:szCs w:val="32"/>
        </w:rPr>
        <w:t>医疗费用按照居民基本医疗保险、居民大病保险和医疗救助等保障制度规定支付后的剩余部分从临时救助金中支出或通过商业保险等方式解决。</w:t>
      </w: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（四）提供住房救助。对符合规定标准且住房困难的分散供养特困人员，城市特困人员通过配租公共租赁住房、发放住房租赁补贴给予救助；农村特困人员通过危房改造等方式给予救助。</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五）提供教育救助。学前教育、义务教育、高中教育阶段（含中等职业教育）采取减免学费（保教费）、发放国家助学金（或生活补助）等方式予以救助；高等教育阶段（含高职、专科），采取发放国家助学金、安排勤工助学岗位等方式予以救助；对因身心障碍等原因不方便入学接受义务教育的适龄未成年残疾人，通过送教上门等方式予以救助。</w:t>
      </w:r>
    </w:p>
    <w:p>
      <w:pPr>
        <w:spacing w:line="560" w:lineRule="exact"/>
        <w:ind w:firstLine="640" w:firstLineChars="200"/>
        <w:rPr>
          <w:rFonts w:hint="eastAsia" w:ascii="仿宋" w:hAnsi="仿宋" w:eastAsia="仿宋" w:cs="仿宋_GB2312"/>
          <w:color w:val="000000" w:themeColor="text1"/>
          <w:sz w:val="32"/>
          <w:szCs w:val="32"/>
          <w:lang w:eastAsia="zh-CN"/>
        </w:rPr>
      </w:pPr>
      <w:r>
        <w:rPr>
          <w:rFonts w:hint="eastAsia"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lang w:eastAsia="zh-CN"/>
        </w:rPr>
        <w:t>六</w:t>
      </w:r>
      <w:r>
        <w:rPr>
          <w:rFonts w:hint="eastAsia" w:ascii="仿宋" w:hAnsi="仿宋" w:eastAsia="仿宋" w:cs="仿宋_GB2312"/>
          <w:color w:val="000000" w:themeColor="text1"/>
          <w:sz w:val="32"/>
          <w:szCs w:val="32"/>
        </w:rPr>
        <w:t>）遗产处置。</w:t>
      </w:r>
      <w:r>
        <w:rPr>
          <w:rFonts w:hint="eastAsia" w:ascii="仿宋" w:hAnsi="仿宋" w:eastAsia="仿宋" w:cs="仿宋_GB2312"/>
          <w:color w:val="000000" w:themeColor="text1"/>
          <w:sz w:val="32"/>
          <w:szCs w:val="32"/>
          <w:lang w:eastAsia="zh-CN"/>
        </w:rPr>
        <w:t>处理办法参照《中华人民共和国民法典》</w:t>
      </w:r>
      <w:bookmarkStart w:id="0" w:name="_GoBack"/>
      <w:bookmarkEnd w:id="0"/>
      <w:r>
        <w:rPr>
          <w:rFonts w:hint="eastAsia" w:ascii="仿宋" w:hAnsi="仿宋" w:eastAsia="仿宋" w:cs="仿宋_GB2312"/>
          <w:color w:val="000000" w:themeColor="text1"/>
          <w:sz w:val="32"/>
          <w:szCs w:val="32"/>
          <w:lang w:eastAsia="zh-CN"/>
        </w:rPr>
        <w:t>的相关规定执行。</w:t>
      </w:r>
    </w:p>
    <w:p>
      <w:pPr>
        <w:spacing w:line="560" w:lineRule="exact"/>
        <w:jc w:val="center"/>
        <w:rPr>
          <w:rFonts w:ascii="仿宋" w:hAnsi="仿宋" w:eastAsia="仿宋" w:cs="黑体"/>
          <w:color w:val="000000" w:themeColor="text1"/>
          <w:sz w:val="32"/>
          <w:szCs w:val="32"/>
        </w:rPr>
      </w:pPr>
    </w:p>
    <w:p>
      <w:pPr>
        <w:spacing w:line="56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第七章  救助供养资金管理</w:t>
      </w:r>
    </w:p>
    <w:p>
      <w:pPr>
        <w:spacing w:line="560" w:lineRule="exact"/>
        <w:ind w:firstLine="640" w:firstLineChars="200"/>
        <w:rPr>
          <w:rFonts w:ascii="仿宋" w:hAnsi="仿宋" w:eastAsia="仿宋" w:cs="黑体"/>
          <w:color w:val="000000" w:themeColor="text1"/>
          <w:sz w:val="32"/>
          <w:szCs w:val="32"/>
        </w:rPr>
      </w:pP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第三十条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集中供养的特困人员，其供养金按救助供养标准拨付给集中供养服务机构；委托机构供养的，由镇人民政府（街道办事处）与受委托机构协商，并报区县民政部门批准，按照协议确定的收费标准，将供养金拨付给服务机构。</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第三十一条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分散供养的特困人员，其供养金的基本生活标准部分采取社会化发放方式发放给本人，供养金的照料护理标准部分可按照委托照料服务协议，发放给受委托的单位、个人或承接服务机构，用于向供养人员提供日常照料或生病护理服务。</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对于取款不便的特困人员</w:t>
      </w:r>
      <w:r>
        <w:rPr>
          <w:rFonts w:hint="eastAsia" w:ascii="仿宋" w:hAnsi="仿宋" w:eastAsia="仿宋" w:cs="仿宋_GB2312"/>
          <w:color w:val="000000" w:themeColor="text1"/>
          <w:sz w:val="32"/>
          <w:szCs w:val="32"/>
          <w:lang w:eastAsia="zh-CN"/>
        </w:rPr>
        <w:t>，</w:t>
      </w:r>
      <w:r>
        <w:rPr>
          <w:rFonts w:hint="eastAsia" w:ascii="仿宋" w:hAnsi="仿宋" w:eastAsia="仿宋" w:cs="仿宋_GB2312"/>
          <w:color w:val="000000" w:themeColor="text1"/>
          <w:sz w:val="32"/>
          <w:szCs w:val="32"/>
        </w:rPr>
        <w:t>可由有关单位指定两人负责代管、代领其供养资金，并确保及时足额发放至本人手中。</w:t>
      </w:r>
    </w:p>
    <w:p>
      <w:pPr>
        <w:spacing w:line="560" w:lineRule="exact"/>
        <w:ind w:firstLine="640" w:firstLineChars="200"/>
        <w:rPr>
          <w:rFonts w:ascii="仿宋" w:hAnsi="仿宋" w:eastAsia="仿宋" w:cs="仿宋_GB2312"/>
          <w:color w:val="000000" w:themeColor="text1"/>
          <w:sz w:val="32"/>
          <w:szCs w:val="32"/>
        </w:rPr>
      </w:pPr>
    </w:p>
    <w:p>
      <w:pPr>
        <w:numPr>
          <w:ilvl w:val="0"/>
          <w:numId w:val="2"/>
        </w:numPr>
        <w:spacing w:line="560" w:lineRule="exact"/>
        <w:ind w:firstLine="640" w:firstLineChars="200"/>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 部门分工及职责</w:t>
      </w:r>
    </w:p>
    <w:p>
      <w:pPr>
        <w:spacing w:line="560" w:lineRule="exact"/>
        <w:rPr>
          <w:rFonts w:ascii="仿宋" w:hAnsi="仿宋" w:eastAsia="仿宋" w:cs="黑体"/>
          <w:color w:val="000000" w:themeColor="text1"/>
          <w:sz w:val="32"/>
          <w:szCs w:val="32"/>
        </w:rPr>
      </w:pPr>
    </w:p>
    <w:p>
      <w:pPr>
        <w:numPr>
          <w:ilvl w:val="255"/>
          <w:numId w:val="0"/>
        </w:numPr>
        <w:spacing w:line="560" w:lineRule="exact"/>
        <w:ind w:firstLine="64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 xml:space="preserve">第三十二条 </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民政部门应切实履行主管部门职责，发挥好统筹协调作用，重点加强特困人员救助供养工作的日常管理，完善相关标准体系，推进信息化建设，提升管理服务水平，并做好对特困人员救助供养等社会救助工作的绩效评价；发展改革部门负责支持供养服务设施建设；财政部门负责做好相关资金保障工作；退役军人、机构编制、乡村振兴、教育、公安、人力资源和社会保障、住房和城乡建设、卫生健康、市场监督管理等相关部门和单位，应按照各自职责分工，积极做好特困人员救助供养相关工作。</w:t>
      </w:r>
    </w:p>
    <w:p>
      <w:pPr>
        <w:numPr>
          <w:ilvl w:val="255"/>
          <w:numId w:val="0"/>
        </w:numPr>
        <w:spacing w:line="560" w:lineRule="exact"/>
        <w:ind w:firstLine="64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镇（街道办事处）负责特困人员救助供养的管理服务等具体工作。</w:t>
      </w:r>
    </w:p>
    <w:p>
      <w:pPr>
        <w:numPr>
          <w:ilvl w:val="255"/>
          <w:numId w:val="0"/>
        </w:numPr>
        <w:spacing w:line="560" w:lineRule="exact"/>
        <w:ind w:firstLine="64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村（居）委会协助镇（街道办事处）做好特困人员的主动发现、调查核实、公示以及分散救助供养对象日常生活照料等工作。</w:t>
      </w:r>
    </w:p>
    <w:p>
      <w:pPr>
        <w:spacing w:line="560" w:lineRule="exact"/>
        <w:jc w:val="center"/>
        <w:rPr>
          <w:rFonts w:ascii="仿宋" w:hAnsi="仿宋" w:eastAsia="仿宋" w:cs="黑体"/>
          <w:color w:val="000000" w:themeColor="text1"/>
          <w:sz w:val="32"/>
          <w:szCs w:val="32"/>
        </w:rPr>
      </w:pPr>
    </w:p>
    <w:p>
      <w:pPr>
        <w:spacing w:line="56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第九章  社会力量参与</w:t>
      </w:r>
    </w:p>
    <w:p>
      <w:pPr>
        <w:spacing w:line="560" w:lineRule="exact"/>
        <w:ind w:firstLine="640" w:firstLineChars="200"/>
        <w:rPr>
          <w:rFonts w:ascii="仿宋" w:hAnsi="仿宋" w:eastAsia="仿宋" w:cs="黑体"/>
          <w:color w:val="000000" w:themeColor="text1"/>
          <w:sz w:val="32"/>
          <w:szCs w:val="32"/>
        </w:rPr>
      </w:pP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 xml:space="preserve">第三十三条  </w:t>
      </w:r>
      <w:r>
        <w:rPr>
          <w:rFonts w:hint="eastAsia" w:ascii="仿宋" w:hAnsi="仿宋" w:eastAsia="仿宋" w:cs="仿宋_GB2312"/>
          <w:color w:val="000000" w:themeColor="text1"/>
          <w:sz w:val="32"/>
          <w:szCs w:val="32"/>
        </w:rPr>
        <w:t>区县民政部门要建立完善社会力量参与特困人员救助供养工作机制和渠道，为社会力量参与特困人员救助供养工作提供便利。</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鼓励群众团体、公益慈善类社会组织、社会工作服务机构和企事业单位、志愿者等社会力量参与特困人员救助供养工作，为特困人员提供困难帮扶、社会融入、心理疏导、资源链接、社会康复、权益维护等专业服务。</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加大政府购买服务和项目支持力度，落实各项财政补贴、收费减免等政策，引导、激励公益慈善组织、社会工作服务机构以及保险等金融机构举办养老、医疗等服务机构，为特困人员提供专业化、个性化服务。</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第三十四条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在确保国有资产不流失、供养水平不降低、服务水平有提高的情况下，因地制宜、积极稳妥推进特困人员供养服务机构社会化改革。</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对于适宜改革的供养服务机构，应逐步通过公建民营、民办公助、购买服务、政府和社会资本合作等方式进行社会化改革。积极引入专业化、高水平的社会力量参与供养机构管理服务工作。</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第三十五条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有条件的村（居）民委员会可从集体经营等收入中安排资金或者提供人力、物资，帮助改善分散供养特困人员的生活水平。</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充分发挥农村幸福院、社区日间照料中心的作用。有条件的地方，可为分散供养特困人员提供无偿或低偿的日间照料服务，推进家庭托养、寄养和社会助养服务工作。</w:t>
      </w:r>
    </w:p>
    <w:p>
      <w:pPr>
        <w:spacing w:line="560" w:lineRule="exact"/>
        <w:ind w:firstLine="640" w:firstLineChars="200"/>
        <w:rPr>
          <w:rFonts w:ascii="仿宋" w:hAnsi="仿宋" w:eastAsia="仿宋" w:cs="仿宋_GB2312"/>
          <w:color w:val="000000" w:themeColor="text1"/>
          <w:sz w:val="32"/>
          <w:szCs w:val="32"/>
        </w:rPr>
      </w:pPr>
    </w:p>
    <w:p>
      <w:pPr>
        <w:spacing w:line="560" w:lineRule="exact"/>
        <w:ind w:firstLine="320" w:firstLineChars="100"/>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第十章  终止救助供养</w:t>
      </w:r>
    </w:p>
    <w:p>
      <w:pPr>
        <w:spacing w:line="560" w:lineRule="exact"/>
        <w:ind w:firstLine="640" w:firstLineChars="200"/>
        <w:jc w:val="center"/>
        <w:rPr>
          <w:rFonts w:ascii="仿宋" w:hAnsi="仿宋" w:eastAsia="仿宋" w:cs="黑体"/>
          <w:color w:val="000000" w:themeColor="text1"/>
          <w:sz w:val="32"/>
          <w:szCs w:val="32"/>
        </w:rPr>
      </w:pP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第三十六条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特困人员有下列情形之一的，应当及时终止救助供养：</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（一）死亡或者被宣告死亡、被宣告失踪； </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（二）具备或恢复劳动能力； </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（三）依法被判处刑罚，且在监狱服刑；</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（四）收入和财产状况不再符合无生活来源规定； </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（五）法定义务人具有了履行义务能力或者新增具有履行义务能力的法定义务人； </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（六）自愿申请退出救助供养。</w:t>
      </w:r>
    </w:p>
    <w:p>
      <w:pPr>
        <w:pStyle w:val="6"/>
        <w:widowControl/>
        <w:spacing w:beforeAutospacing="0" w:afterAutospacing="0" w:line="560" w:lineRule="exact"/>
        <w:ind w:firstLine="640" w:firstLineChars="20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特困人员中的未成年人，可继续享有救助供养待遇至18周岁；年满18周岁仍在接受义务教育或者在普通高中、中等职业学校就读的，可继续享有救助供养待遇。</w:t>
      </w: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第三十七条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特困人员不再符合救助供养条件的，本人、照料服务人、村（居）民委员会或者供养服务机构应当及时告知镇人民政府（街道办事处）。</w:t>
      </w:r>
      <w:r>
        <w:rPr>
          <w:rFonts w:ascii="仿宋" w:hAnsi="仿宋" w:eastAsia="仿宋" w:cs="仿宋_GB2312"/>
          <w:color w:val="000000" w:themeColor="text1"/>
          <w:kern w:val="0"/>
          <w:sz w:val="32"/>
          <w:szCs w:val="32"/>
        </w:rPr>
        <w:t>由</w:t>
      </w:r>
      <w:r>
        <w:rPr>
          <w:rFonts w:hint="eastAsia" w:ascii="仿宋" w:hAnsi="仿宋" w:eastAsia="仿宋" w:cs="仿宋_GB2312"/>
          <w:color w:val="000000" w:themeColor="text1"/>
          <w:sz w:val="32"/>
          <w:szCs w:val="32"/>
        </w:rPr>
        <w:t>镇人民政府（街道办事处）</w:t>
      </w:r>
      <w:r>
        <w:rPr>
          <w:rFonts w:ascii="仿宋" w:hAnsi="仿宋" w:eastAsia="仿宋" w:cs="仿宋_GB2312"/>
          <w:color w:val="000000" w:themeColor="text1"/>
          <w:kern w:val="0"/>
          <w:sz w:val="32"/>
          <w:szCs w:val="32"/>
        </w:rPr>
        <w:t>核准终止，并报</w:t>
      </w:r>
      <w:r>
        <w:rPr>
          <w:rFonts w:hint="eastAsia" w:ascii="仿宋" w:hAnsi="仿宋" w:eastAsia="仿宋" w:cs="仿宋_GB2312"/>
          <w:color w:val="000000" w:themeColor="text1"/>
          <w:kern w:val="0"/>
          <w:sz w:val="32"/>
          <w:szCs w:val="32"/>
        </w:rPr>
        <w:t>区</w:t>
      </w:r>
      <w:r>
        <w:rPr>
          <w:rFonts w:ascii="仿宋" w:hAnsi="仿宋" w:eastAsia="仿宋" w:cs="仿宋_GB2312"/>
          <w:color w:val="000000" w:themeColor="text1"/>
          <w:kern w:val="0"/>
          <w:sz w:val="32"/>
          <w:szCs w:val="32"/>
        </w:rPr>
        <w:t xml:space="preserve">县民政部门备案。 </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 xml:space="preserve">第三十八条 </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对拟终止救助供养的特困人员，由镇人民政府（街道办事处）在其所在村（社区）或者供养服务机构公示。公示期为７天。公示期满无异议的，镇人民政府（街道办事处）应当作出终止决定并及时办理终止手续，下月起终止救助供养待遇，对公示有异议的，镇（街道）人民政府应当组织调查核实，在10个工作日内作出是否终止救助供养决定，并重新公示。镇人民政府（街道办事处）在工作中发现特困人员不再符合救助供养条件的，应当及时审核并公示，无异议的，终止救助供养待遇。对决定终止救助供养的，镇人民政府（街道办事处）应将终止理由书面告知当事人、村（居）民委员会。</w:t>
      </w:r>
    </w:p>
    <w:p>
      <w:pPr>
        <w:widowControl/>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 xml:space="preserve">第三十九条 </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 xml:space="preserve">对终止救助供养的原特困人员，符合最低生活保障、临时救助等其他社会救助条件的，应当按规定及时纳入相应救助范围。 </w:t>
      </w:r>
    </w:p>
    <w:p>
      <w:pPr>
        <w:widowControl/>
        <w:spacing w:line="560" w:lineRule="exact"/>
        <w:ind w:firstLine="640" w:firstLineChars="200"/>
        <w:jc w:val="left"/>
        <w:rPr>
          <w:rFonts w:ascii="仿宋" w:hAnsi="仿宋" w:eastAsia="仿宋" w:cs="黑体"/>
          <w:color w:val="000000" w:themeColor="text1"/>
          <w:sz w:val="32"/>
          <w:szCs w:val="32"/>
        </w:rPr>
      </w:pPr>
      <w:r>
        <w:rPr>
          <w:rFonts w:ascii="仿宋" w:hAnsi="仿宋" w:eastAsia="仿宋" w:cs="仿宋_GB2312"/>
          <w:color w:val="000000" w:themeColor="text1"/>
          <w:kern w:val="0"/>
          <w:sz w:val="32"/>
          <w:szCs w:val="32"/>
        </w:rPr>
        <w:t xml:space="preserve"> </w:t>
      </w:r>
    </w:p>
    <w:p>
      <w:pPr>
        <w:spacing w:line="56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第十一章  责任追究</w:t>
      </w:r>
    </w:p>
    <w:p>
      <w:pPr>
        <w:spacing w:line="560" w:lineRule="exact"/>
        <w:ind w:firstLine="640" w:firstLineChars="200"/>
        <w:rPr>
          <w:rFonts w:ascii="仿宋" w:hAnsi="仿宋" w:eastAsia="仿宋" w:cs="黑体"/>
          <w:color w:val="000000" w:themeColor="text1"/>
          <w:sz w:val="32"/>
          <w:szCs w:val="32"/>
        </w:rPr>
      </w:pP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第四十条</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行政机关及其工作人员有下列行为之一的</w:t>
      </w:r>
      <w:r>
        <w:rPr>
          <w:rFonts w:hint="eastAsia" w:ascii="仿宋" w:hAnsi="仿宋" w:eastAsia="仿宋" w:cs="仿宋_GB2312"/>
          <w:color w:val="000000" w:themeColor="text1"/>
          <w:sz w:val="32"/>
          <w:szCs w:val="32"/>
          <w:lang w:eastAsia="zh-CN"/>
        </w:rPr>
        <w:t>，</w:t>
      </w:r>
      <w:r>
        <w:rPr>
          <w:rFonts w:hint="eastAsia" w:ascii="仿宋" w:hAnsi="仿宋" w:eastAsia="仿宋" w:cs="仿宋_GB2312"/>
          <w:color w:val="000000" w:themeColor="text1"/>
          <w:sz w:val="32"/>
          <w:szCs w:val="32"/>
        </w:rPr>
        <w:t>依法依规追究有关人员责任：</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（一）对符合特困人员供养条件的居民不予批准享受特困人员供养待遇的</w:t>
      </w:r>
      <w:r>
        <w:rPr>
          <w:rFonts w:hint="eastAsia" w:ascii="仿宋" w:hAnsi="仿宋" w:eastAsia="仿宋" w:cs="仿宋_GB2312"/>
          <w:color w:val="000000" w:themeColor="text1"/>
          <w:sz w:val="32"/>
          <w:szCs w:val="32"/>
          <w:lang w:eastAsia="zh-CN"/>
        </w:rPr>
        <w:t>，</w:t>
      </w:r>
      <w:r>
        <w:rPr>
          <w:rFonts w:hint="eastAsia" w:ascii="仿宋" w:hAnsi="仿宋" w:eastAsia="仿宋" w:cs="仿宋_GB2312"/>
          <w:color w:val="000000" w:themeColor="text1"/>
          <w:sz w:val="32"/>
          <w:szCs w:val="32"/>
        </w:rPr>
        <w:t>或者对不符合特困人员供养条件的居民批准其享受特困人员供养待遇的；</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（二）贪污、挪用、截留、私分特困人员供养款物的；</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（三）歧视、侮辱、虐待或者遗弃供养对象的；</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_GB2312"/>
          <w:color w:val="000000" w:themeColor="text1"/>
          <w:sz w:val="32"/>
          <w:szCs w:val="32"/>
        </w:rPr>
        <w:t>（四）有其他滥用职权、玩忽职守、徇私舞弊行为的。</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第四十一条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村（居）民委员会组成人员贪污、挪用、截留特困人员供养款物的，依法追究其相应责任，构成犯罪的，依法追究其刑事责任。特困人员供养服务机构工作人员私分、挪用、截留特困人员供养款物的，依法追究其相应责任，构成犯罪的，依法追究其刑事责任。</w:t>
      </w: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第四十二条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sz w:val="32"/>
          <w:szCs w:val="32"/>
        </w:rPr>
        <w:t>村（居）民委员会或者特困人员供养服务机构违规向供养对象提供服务要求或增加不合理负担的，由区县民政部门或镇人民政府（街道办事处）责令其限期改正；逾期不改正的</w:t>
      </w:r>
      <w:r>
        <w:rPr>
          <w:rFonts w:hint="eastAsia" w:ascii="仿宋" w:hAnsi="仿宋" w:eastAsia="仿宋" w:cs="仿宋_GB2312"/>
          <w:color w:val="000000" w:themeColor="text1"/>
          <w:sz w:val="32"/>
          <w:szCs w:val="32"/>
          <w:lang w:eastAsia="zh-CN"/>
        </w:rPr>
        <w:t>，</w:t>
      </w:r>
      <w:r>
        <w:rPr>
          <w:rFonts w:hint="eastAsia" w:ascii="仿宋" w:hAnsi="仿宋" w:eastAsia="仿宋" w:cs="仿宋_GB2312"/>
          <w:color w:val="000000" w:themeColor="text1"/>
          <w:sz w:val="32"/>
          <w:szCs w:val="32"/>
        </w:rPr>
        <w:t>区县民政部门或镇人民政府（街道办事处）有权终止供养服务协议；造成损失的，依法承担相应赔偿责任。</w:t>
      </w:r>
    </w:p>
    <w:p>
      <w:pPr>
        <w:spacing w:line="560" w:lineRule="exact"/>
        <w:ind w:firstLine="640" w:firstLineChars="200"/>
        <w:rPr>
          <w:rFonts w:ascii="仿宋" w:hAnsi="仿宋" w:eastAsia="仿宋" w:cs="黑体"/>
          <w:color w:val="000000" w:themeColor="text1"/>
          <w:sz w:val="32"/>
          <w:szCs w:val="32"/>
        </w:rPr>
      </w:pPr>
      <w:r>
        <w:rPr>
          <w:rFonts w:hint="eastAsia" w:ascii="黑体" w:hAnsi="黑体" w:eastAsia="黑体" w:cs="黑体"/>
          <w:color w:val="000000" w:themeColor="text1"/>
          <w:kern w:val="0"/>
          <w:sz w:val="32"/>
          <w:szCs w:val="32"/>
        </w:rPr>
        <w:t>第四十三条</w:t>
      </w:r>
      <w:r>
        <w:rPr>
          <w:rFonts w:hint="eastAsia" w:ascii="仿宋" w:hAnsi="仿宋" w:eastAsia="仿宋" w:cs="仿宋_GB2312"/>
          <w:color w:val="000000" w:themeColor="text1"/>
          <w:kern w:val="0"/>
          <w:sz w:val="32"/>
          <w:szCs w:val="32"/>
        </w:rPr>
        <w:t xml:space="preserve">  区县民政部门要</w:t>
      </w:r>
      <w:r>
        <w:rPr>
          <w:rFonts w:ascii="仿宋" w:hAnsi="仿宋" w:eastAsia="仿宋" w:cs="仿宋_GB2312"/>
          <w:color w:val="000000" w:themeColor="text1"/>
          <w:kern w:val="0"/>
          <w:sz w:val="32"/>
          <w:szCs w:val="32"/>
        </w:rPr>
        <w:t>建立工作容错纠错机制，区分主观故意、客观偏差和改革创新不同情形，对客观偏差或探索创新、先行先试造成工作失误的，从轻、减轻或免于追责。</w:t>
      </w:r>
    </w:p>
    <w:p>
      <w:pPr>
        <w:spacing w:line="560" w:lineRule="exact"/>
        <w:jc w:val="center"/>
        <w:rPr>
          <w:rFonts w:ascii="仿宋" w:hAnsi="仿宋" w:eastAsia="仿宋" w:cs="黑体"/>
          <w:color w:val="000000" w:themeColor="text1"/>
          <w:sz w:val="32"/>
          <w:szCs w:val="32"/>
        </w:rPr>
      </w:pPr>
    </w:p>
    <w:p>
      <w:pPr>
        <w:spacing w:line="56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第十二章  附  则</w:t>
      </w:r>
    </w:p>
    <w:p>
      <w:pPr>
        <w:spacing w:line="560" w:lineRule="exact"/>
        <w:ind w:firstLine="640" w:firstLineChars="200"/>
        <w:rPr>
          <w:rFonts w:ascii="仿宋" w:hAnsi="仿宋" w:eastAsia="仿宋" w:cs="黑体"/>
          <w:color w:val="000000" w:themeColor="text1"/>
          <w:sz w:val="32"/>
          <w:szCs w:val="32"/>
        </w:rPr>
      </w:pPr>
    </w:p>
    <w:p>
      <w:pPr>
        <w:spacing w:line="560" w:lineRule="exact"/>
        <w:ind w:firstLine="640" w:firstLineChars="200"/>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第四十四条</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纳入特困人员救助供养范围的，不再适用最低生活保障政策。纳入特困人员救助供养范围的残疾人，不再享受困难残疾人生活补贴和重度残疾人护理补贴。</w:t>
      </w:r>
    </w:p>
    <w:p>
      <w:pPr>
        <w:widowControl/>
        <w:spacing w:line="560" w:lineRule="exact"/>
        <w:ind w:firstLine="640" w:firstLineChars="200"/>
        <w:jc w:val="left"/>
        <w:rPr>
          <w:rFonts w:ascii="仿宋" w:hAnsi="仿宋" w:eastAsia="仿宋" w:cs="仿宋_GB2312"/>
          <w:color w:val="000000" w:themeColor="text1"/>
          <w:sz w:val="32"/>
          <w:szCs w:val="32"/>
        </w:rPr>
      </w:pPr>
      <w:r>
        <w:rPr>
          <w:rFonts w:hint="eastAsia" w:ascii="黑体" w:hAnsi="黑体" w:eastAsia="黑体" w:cs="黑体"/>
          <w:color w:val="000000" w:themeColor="text1"/>
          <w:sz w:val="32"/>
          <w:szCs w:val="32"/>
        </w:rPr>
        <w:t>第四十五条</w:t>
      </w:r>
      <w:r>
        <w:rPr>
          <w:rFonts w:hint="eastAsia" w:ascii="仿宋" w:hAnsi="仿宋" w:eastAsia="仿宋" w:cs="黑体"/>
          <w:color w:val="000000" w:themeColor="text1"/>
          <w:sz w:val="32"/>
          <w:szCs w:val="32"/>
        </w:rPr>
        <w:t xml:space="preserve">  </w:t>
      </w:r>
      <w:r>
        <w:rPr>
          <w:rFonts w:hint="eastAsia" w:ascii="仿宋" w:hAnsi="仿宋" w:eastAsia="仿宋" w:cs="仿宋_GB2312"/>
          <w:color w:val="000000" w:themeColor="text1"/>
          <w:kern w:val="0"/>
          <w:sz w:val="32"/>
          <w:szCs w:val="32"/>
        </w:rPr>
        <w:t>对于公安机关已办理户口登记手续、符合特困人员供养条件的流浪乞讨人员，区县民政部门、镇人民政府（街道办事处）要及时纳入特困供养范围，落实救助政策。纳入特困人员供养的滞留人员身份查询确认并返乡后，</w:t>
      </w:r>
      <w:r>
        <w:rPr>
          <w:rFonts w:hint="eastAsia" w:ascii="仿宋" w:hAnsi="仿宋" w:eastAsia="仿宋" w:cs="仿宋_GB2312"/>
          <w:color w:val="000000" w:themeColor="text1"/>
          <w:sz w:val="32"/>
          <w:szCs w:val="32"/>
        </w:rPr>
        <w:t>终止救助供养</w:t>
      </w:r>
      <w:r>
        <w:rPr>
          <w:rFonts w:hint="eastAsia" w:ascii="仿宋" w:hAnsi="仿宋" w:eastAsia="仿宋" w:cs="仿宋_GB2312"/>
          <w:color w:val="000000" w:themeColor="text1"/>
          <w:kern w:val="0"/>
          <w:sz w:val="32"/>
          <w:szCs w:val="32"/>
        </w:rPr>
        <w:t xml:space="preserve">。 </w:t>
      </w:r>
    </w:p>
    <w:p>
      <w:pPr>
        <w:widowControl/>
        <w:spacing w:line="560" w:lineRule="exact"/>
        <w:ind w:firstLine="640" w:firstLineChars="200"/>
        <w:jc w:val="left"/>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第四十六条</w:t>
      </w:r>
      <w:r>
        <w:rPr>
          <w:rFonts w:hint="eastAsia" w:ascii="仿宋" w:hAnsi="仿宋" w:eastAsia="仿宋" w:cs="仿宋"/>
          <w:color w:val="000000" w:themeColor="text1"/>
          <w:sz w:val="32"/>
          <w:szCs w:val="32"/>
        </w:rPr>
        <w:t xml:space="preserve">  </w:t>
      </w:r>
      <w:r>
        <w:rPr>
          <w:rFonts w:hint="eastAsia" w:ascii="仿宋" w:hAnsi="仿宋" w:eastAsia="仿宋" w:cs="仿宋_GB2312"/>
          <w:color w:val="000000" w:themeColor="text1"/>
          <w:sz w:val="32"/>
          <w:szCs w:val="32"/>
        </w:rPr>
        <w:t>本办法自2023年</w:t>
      </w:r>
      <w:r>
        <w:rPr>
          <w:rFonts w:hint="eastAsia" w:ascii="仿宋" w:hAnsi="仿宋" w:eastAsia="仿宋" w:cs="仿宋_GB2312"/>
          <w:color w:val="000000" w:themeColor="text1"/>
          <w:sz w:val="32"/>
          <w:szCs w:val="32"/>
          <w:lang w:val="en-US" w:eastAsia="zh-CN"/>
        </w:rPr>
        <w:t>10</w:t>
      </w:r>
      <w:r>
        <w:rPr>
          <w:rFonts w:hint="eastAsia" w:ascii="仿宋" w:hAnsi="仿宋" w:eastAsia="仿宋" w:cs="仿宋_GB2312"/>
          <w:color w:val="000000" w:themeColor="text1"/>
          <w:sz w:val="32"/>
          <w:szCs w:val="32"/>
        </w:rPr>
        <w:t>月</w:t>
      </w:r>
      <w:r>
        <w:rPr>
          <w:rFonts w:hint="eastAsia" w:ascii="仿宋" w:hAnsi="仿宋" w:eastAsia="仿宋" w:cs="仿宋_GB2312"/>
          <w:color w:val="000000" w:themeColor="text1"/>
          <w:sz w:val="32"/>
          <w:szCs w:val="32"/>
          <w:lang w:val="en-US" w:eastAsia="zh-CN"/>
        </w:rPr>
        <w:t>1</w:t>
      </w:r>
      <w:r>
        <w:rPr>
          <w:rFonts w:hint="eastAsia" w:ascii="仿宋" w:hAnsi="仿宋" w:eastAsia="仿宋" w:cs="仿宋_GB2312"/>
          <w:color w:val="000000" w:themeColor="text1"/>
          <w:sz w:val="32"/>
          <w:szCs w:val="32"/>
        </w:rPr>
        <w:t>日起施行，有效期至2028年</w:t>
      </w:r>
      <w:r>
        <w:rPr>
          <w:rFonts w:hint="eastAsia" w:ascii="仿宋" w:hAnsi="仿宋" w:eastAsia="仿宋" w:cs="仿宋_GB2312"/>
          <w:color w:val="000000" w:themeColor="text1"/>
          <w:sz w:val="32"/>
          <w:szCs w:val="32"/>
          <w:lang w:val="en-US" w:eastAsia="zh-CN"/>
        </w:rPr>
        <w:t>9</w:t>
      </w:r>
      <w:r>
        <w:rPr>
          <w:rFonts w:hint="eastAsia" w:ascii="仿宋" w:hAnsi="仿宋" w:eastAsia="仿宋" w:cs="仿宋_GB2312"/>
          <w:color w:val="000000" w:themeColor="text1"/>
          <w:sz w:val="32"/>
          <w:szCs w:val="32"/>
        </w:rPr>
        <w:t>月</w:t>
      </w:r>
      <w:r>
        <w:rPr>
          <w:rFonts w:hint="eastAsia" w:ascii="仿宋" w:hAnsi="仿宋" w:eastAsia="仿宋" w:cs="仿宋_GB2312"/>
          <w:color w:val="000000" w:themeColor="text1"/>
          <w:sz w:val="32"/>
          <w:szCs w:val="32"/>
          <w:lang w:val="en-US" w:eastAsia="zh-CN"/>
        </w:rPr>
        <w:t>30</w:t>
      </w:r>
      <w:r>
        <w:rPr>
          <w:rFonts w:hint="eastAsia" w:ascii="仿宋" w:hAnsi="仿宋" w:eastAsia="仿宋" w:cs="仿宋_GB2312"/>
          <w:color w:val="000000" w:themeColor="text1"/>
          <w:sz w:val="32"/>
          <w:szCs w:val="32"/>
        </w:rPr>
        <w:t>日。原政策规定与本办法不一致的，以本办法为准</w:t>
      </w:r>
      <w:r>
        <w:rPr>
          <w:rFonts w:hint="eastAsia" w:ascii="仿宋" w:hAnsi="仿宋" w:eastAsia="仿宋" w:cs="仿宋_GB2312"/>
          <w:color w:val="000000" w:themeColor="text1"/>
          <w:kern w:val="0"/>
          <w:sz w:val="32"/>
          <w:szCs w:val="32"/>
        </w:rPr>
        <w:t>。</w:t>
      </w: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876B63-2D01-4099-A708-CBCD95A3FD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embedRegular r:id="rId2" w:fontKey="{D38934CE-24AC-4283-97F5-EC16D9DE19B8}"/>
  </w:font>
  <w:font w:name="方正小标宋简体">
    <w:panose1 w:val="03000509000000000000"/>
    <w:charset w:val="86"/>
    <w:family w:val="auto"/>
    <w:pitch w:val="default"/>
    <w:sig w:usb0="00000001" w:usb1="080E0000" w:usb2="00000000" w:usb3="00000000" w:csb0="00040000" w:csb1="00000000"/>
    <w:embedRegular r:id="rId3" w:fontKey="{51381178-6FEC-4BFF-A487-6136938F6206}"/>
  </w:font>
  <w:font w:name="楷体">
    <w:panose1 w:val="02010609060101010101"/>
    <w:charset w:val="86"/>
    <w:family w:val="modern"/>
    <w:pitch w:val="default"/>
    <w:sig w:usb0="800002BF" w:usb1="38CF7CFA" w:usb2="00000016" w:usb3="00000000" w:csb0="00040001" w:csb1="00000000"/>
    <w:embedRegular r:id="rId4" w:fontKey="{25BE4662-4445-45E0-835A-4858BF66FA84}"/>
  </w:font>
  <w:font w:name="仿宋">
    <w:panose1 w:val="02010609060101010101"/>
    <w:charset w:val="86"/>
    <w:family w:val="modern"/>
    <w:pitch w:val="default"/>
    <w:sig w:usb0="800002BF" w:usb1="38CF7CFA" w:usb2="00000016" w:usb3="00000000" w:csb0="00040001" w:csb1="00000000"/>
    <w:embedRegular r:id="rId5" w:fontKey="{74F44EBE-696F-4E44-ABF1-B81508DD440D}"/>
  </w:font>
  <w:font w:name="仿宋_GB2312">
    <w:panose1 w:val="02010609030101010101"/>
    <w:charset w:val="86"/>
    <w:family w:val="modern"/>
    <w:pitch w:val="default"/>
    <w:sig w:usb0="00000001" w:usb1="080E0000" w:usb2="00000000" w:usb3="00000000" w:csb0="00040000" w:csb1="00000000"/>
    <w:embedRegular r:id="rId6" w:fontKey="{288CC197-7B38-41FE-954D-1234028493BE}"/>
  </w:font>
  <w:font w:name="HTJ-PK74820000008">
    <w:altName w:val="仿宋"/>
    <w:panose1 w:val="00000000000000000000"/>
    <w:charset w:val="00"/>
    <w:family w:val="auto"/>
    <w:pitch w:val="default"/>
    <w:sig w:usb0="00000000" w:usb1="00000000" w:usb2="00000000" w:usb3="00000000" w:csb0="00000000" w:csb1="00000000"/>
    <w:embedRegular r:id="rId7" w:fontKey="{BE19753B-716D-45A0-9F25-A003CDBB59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4"/>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D3FE1"/>
    <w:multiLevelType w:val="singleLevel"/>
    <w:tmpl w:val="9BBD3FE1"/>
    <w:lvl w:ilvl="0" w:tentative="0">
      <w:start w:val="4"/>
      <w:numFmt w:val="chineseCounting"/>
      <w:suff w:val="space"/>
      <w:lvlText w:val="第%1章"/>
      <w:lvlJc w:val="left"/>
      <w:rPr>
        <w:rFonts w:hint="eastAsia"/>
      </w:rPr>
    </w:lvl>
  </w:abstractNum>
  <w:abstractNum w:abstractNumId="1">
    <w:nsid w:val="EFEE84DC"/>
    <w:multiLevelType w:val="singleLevel"/>
    <w:tmpl w:val="EFEE84DC"/>
    <w:lvl w:ilvl="0" w:tentative="0">
      <w:start w:val="8"/>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VhNDNlMjUzNTZhYzdkYzk2OGUzMDQ4Y2EwOGZlYWIifQ=="/>
  </w:docVars>
  <w:rsids>
    <w:rsidRoot w:val="3DE0330E"/>
    <w:rsid w:val="00173239"/>
    <w:rsid w:val="001C13CA"/>
    <w:rsid w:val="002B3C7D"/>
    <w:rsid w:val="002F083C"/>
    <w:rsid w:val="003C452B"/>
    <w:rsid w:val="00425B7A"/>
    <w:rsid w:val="00505BB0"/>
    <w:rsid w:val="005271FA"/>
    <w:rsid w:val="0053726D"/>
    <w:rsid w:val="005B700F"/>
    <w:rsid w:val="00631EF2"/>
    <w:rsid w:val="007635D0"/>
    <w:rsid w:val="008209DC"/>
    <w:rsid w:val="00826705"/>
    <w:rsid w:val="00852A1F"/>
    <w:rsid w:val="0097238A"/>
    <w:rsid w:val="00A55B55"/>
    <w:rsid w:val="00A90C37"/>
    <w:rsid w:val="00B07325"/>
    <w:rsid w:val="00B270A3"/>
    <w:rsid w:val="00BA7836"/>
    <w:rsid w:val="00C80AA5"/>
    <w:rsid w:val="00D22BDF"/>
    <w:rsid w:val="00DE4E97"/>
    <w:rsid w:val="00F6421B"/>
    <w:rsid w:val="00FA6D9F"/>
    <w:rsid w:val="01A73906"/>
    <w:rsid w:val="01F007A2"/>
    <w:rsid w:val="02026242"/>
    <w:rsid w:val="021C152A"/>
    <w:rsid w:val="023F4DAE"/>
    <w:rsid w:val="02654B85"/>
    <w:rsid w:val="03110D79"/>
    <w:rsid w:val="03694A2A"/>
    <w:rsid w:val="036E4051"/>
    <w:rsid w:val="03953892"/>
    <w:rsid w:val="03A8576C"/>
    <w:rsid w:val="044748FF"/>
    <w:rsid w:val="049466EA"/>
    <w:rsid w:val="04F850EA"/>
    <w:rsid w:val="05A5011F"/>
    <w:rsid w:val="065113B2"/>
    <w:rsid w:val="069C00BB"/>
    <w:rsid w:val="07A76B17"/>
    <w:rsid w:val="07D7410A"/>
    <w:rsid w:val="0899065E"/>
    <w:rsid w:val="09DA7235"/>
    <w:rsid w:val="09E11321"/>
    <w:rsid w:val="0A0D0B86"/>
    <w:rsid w:val="0A272E1D"/>
    <w:rsid w:val="0A700171"/>
    <w:rsid w:val="0AB24C0B"/>
    <w:rsid w:val="0AD616BB"/>
    <w:rsid w:val="0ADA1834"/>
    <w:rsid w:val="0AE7528B"/>
    <w:rsid w:val="0B934D46"/>
    <w:rsid w:val="0BF2741D"/>
    <w:rsid w:val="0C2B74AC"/>
    <w:rsid w:val="0C847915"/>
    <w:rsid w:val="0CD72DC1"/>
    <w:rsid w:val="0D5A1432"/>
    <w:rsid w:val="0D850E67"/>
    <w:rsid w:val="0DF02B89"/>
    <w:rsid w:val="0EEA79A9"/>
    <w:rsid w:val="0F6C5C62"/>
    <w:rsid w:val="0FC57341"/>
    <w:rsid w:val="0FFB7319"/>
    <w:rsid w:val="10155533"/>
    <w:rsid w:val="102B4479"/>
    <w:rsid w:val="11C23D05"/>
    <w:rsid w:val="11E34C90"/>
    <w:rsid w:val="1343681E"/>
    <w:rsid w:val="13A9265B"/>
    <w:rsid w:val="147E0E1A"/>
    <w:rsid w:val="14C454E6"/>
    <w:rsid w:val="15037777"/>
    <w:rsid w:val="151D3F19"/>
    <w:rsid w:val="152F36AD"/>
    <w:rsid w:val="15872C7D"/>
    <w:rsid w:val="15FF3C92"/>
    <w:rsid w:val="16BC7E48"/>
    <w:rsid w:val="17053776"/>
    <w:rsid w:val="1732654C"/>
    <w:rsid w:val="17C6502A"/>
    <w:rsid w:val="183E046C"/>
    <w:rsid w:val="18522D29"/>
    <w:rsid w:val="1859149C"/>
    <w:rsid w:val="18633E4C"/>
    <w:rsid w:val="18882763"/>
    <w:rsid w:val="1953663B"/>
    <w:rsid w:val="1A316964"/>
    <w:rsid w:val="1A5D40FE"/>
    <w:rsid w:val="1AC24E32"/>
    <w:rsid w:val="1AD4075B"/>
    <w:rsid w:val="1AEC2F03"/>
    <w:rsid w:val="1AF443A8"/>
    <w:rsid w:val="1B0D24F5"/>
    <w:rsid w:val="1BC8648E"/>
    <w:rsid w:val="1C1A2254"/>
    <w:rsid w:val="1CAE540F"/>
    <w:rsid w:val="1CB72A2D"/>
    <w:rsid w:val="1D2C0D96"/>
    <w:rsid w:val="1E956F0A"/>
    <w:rsid w:val="1EA829F6"/>
    <w:rsid w:val="1FC51364"/>
    <w:rsid w:val="202E1A03"/>
    <w:rsid w:val="21B768F7"/>
    <w:rsid w:val="22A54767"/>
    <w:rsid w:val="22CA1D67"/>
    <w:rsid w:val="232270E1"/>
    <w:rsid w:val="2345006F"/>
    <w:rsid w:val="23BF68DE"/>
    <w:rsid w:val="245439C8"/>
    <w:rsid w:val="25501847"/>
    <w:rsid w:val="25806EAF"/>
    <w:rsid w:val="25876985"/>
    <w:rsid w:val="25D17D07"/>
    <w:rsid w:val="260C7A25"/>
    <w:rsid w:val="267C1EEF"/>
    <w:rsid w:val="26C97212"/>
    <w:rsid w:val="27737ECC"/>
    <w:rsid w:val="27866243"/>
    <w:rsid w:val="27C42995"/>
    <w:rsid w:val="286B19BD"/>
    <w:rsid w:val="286B7BFA"/>
    <w:rsid w:val="29900B24"/>
    <w:rsid w:val="299818A8"/>
    <w:rsid w:val="2B816153"/>
    <w:rsid w:val="2BB30D94"/>
    <w:rsid w:val="2BF10FEB"/>
    <w:rsid w:val="2C335B51"/>
    <w:rsid w:val="2C8479C0"/>
    <w:rsid w:val="2C8C255C"/>
    <w:rsid w:val="2CEA06F0"/>
    <w:rsid w:val="2E075A83"/>
    <w:rsid w:val="2E113A6C"/>
    <w:rsid w:val="2E5FBD89"/>
    <w:rsid w:val="2E6E605B"/>
    <w:rsid w:val="2E761672"/>
    <w:rsid w:val="2F073AE3"/>
    <w:rsid w:val="2F1FF58A"/>
    <w:rsid w:val="2F9B6D78"/>
    <w:rsid w:val="2FBF97BF"/>
    <w:rsid w:val="300035E4"/>
    <w:rsid w:val="313048A4"/>
    <w:rsid w:val="31660EB6"/>
    <w:rsid w:val="31FC0412"/>
    <w:rsid w:val="32F46DA7"/>
    <w:rsid w:val="333F016F"/>
    <w:rsid w:val="333F4DF1"/>
    <w:rsid w:val="342E6F4A"/>
    <w:rsid w:val="344863A4"/>
    <w:rsid w:val="349637FF"/>
    <w:rsid w:val="35136A3D"/>
    <w:rsid w:val="357A77F9"/>
    <w:rsid w:val="36987580"/>
    <w:rsid w:val="37340401"/>
    <w:rsid w:val="37393DF0"/>
    <w:rsid w:val="378713FC"/>
    <w:rsid w:val="37B04842"/>
    <w:rsid w:val="386F0112"/>
    <w:rsid w:val="38E8340A"/>
    <w:rsid w:val="39075841"/>
    <w:rsid w:val="390B08B5"/>
    <w:rsid w:val="39A76912"/>
    <w:rsid w:val="3A7C2F07"/>
    <w:rsid w:val="3ADB416E"/>
    <w:rsid w:val="3AEA0A9F"/>
    <w:rsid w:val="3B10257C"/>
    <w:rsid w:val="3B143FBB"/>
    <w:rsid w:val="3B6F1D6F"/>
    <w:rsid w:val="3B7627E6"/>
    <w:rsid w:val="3BED59E4"/>
    <w:rsid w:val="3BF7660E"/>
    <w:rsid w:val="3C6A78FB"/>
    <w:rsid w:val="3C825E36"/>
    <w:rsid w:val="3CAF1CBE"/>
    <w:rsid w:val="3CD40F21"/>
    <w:rsid w:val="3D314799"/>
    <w:rsid w:val="3D6413D0"/>
    <w:rsid w:val="3DE0330E"/>
    <w:rsid w:val="3E923EF7"/>
    <w:rsid w:val="3EB7305A"/>
    <w:rsid w:val="3EBA8207"/>
    <w:rsid w:val="3ED61074"/>
    <w:rsid w:val="3EFE684A"/>
    <w:rsid w:val="3F8567D3"/>
    <w:rsid w:val="3FB06177"/>
    <w:rsid w:val="3FBB6C42"/>
    <w:rsid w:val="3FC1083C"/>
    <w:rsid w:val="3FF2384C"/>
    <w:rsid w:val="3FF7BBA9"/>
    <w:rsid w:val="3FFDAEF2"/>
    <w:rsid w:val="3FFF6B56"/>
    <w:rsid w:val="405146E8"/>
    <w:rsid w:val="40652463"/>
    <w:rsid w:val="409E5084"/>
    <w:rsid w:val="413D04FF"/>
    <w:rsid w:val="4149593C"/>
    <w:rsid w:val="41550EFF"/>
    <w:rsid w:val="423F1678"/>
    <w:rsid w:val="426001EE"/>
    <w:rsid w:val="43A4259F"/>
    <w:rsid w:val="43FB0501"/>
    <w:rsid w:val="4444494F"/>
    <w:rsid w:val="44E65F52"/>
    <w:rsid w:val="456650D8"/>
    <w:rsid w:val="45D755D9"/>
    <w:rsid w:val="46617C85"/>
    <w:rsid w:val="47020552"/>
    <w:rsid w:val="47186F3E"/>
    <w:rsid w:val="47300C29"/>
    <w:rsid w:val="474D4BF8"/>
    <w:rsid w:val="474E60C2"/>
    <w:rsid w:val="47873036"/>
    <w:rsid w:val="47952D53"/>
    <w:rsid w:val="48D342BF"/>
    <w:rsid w:val="4A0808DE"/>
    <w:rsid w:val="4B49651E"/>
    <w:rsid w:val="4B7F1FC5"/>
    <w:rsid w:val="4BE878A1"/>
    <w:rsid w:val="4C846273"/>
    <w:rsid w:val="4D322736"/>
    <w:rsid w:val="4D3E1F39"/>
    <w:rsid w:val="4DEA7B3C"/>
    <w:rsid w:val="4E816407"/>
    <w:rsid w:val="4E8D43B0"/>
    <w:rsid w:val="4E9A4102"/>
    <w:rsid w:val="4EC91D58"/>
    <w:rsid w:val="4EC97212"/>
    <w:rsid w:val="4F250937"/>
    <w:rsid w:val="4FA10283"/>
    <w:rsid w:val="4FAB76EA"/>
    <w:rsid w:val="4FE821FF"/>
    <w:rsid w:val="519E1FB5"/>
    <w:rsid w:val="51B10DB0"/>
    <w:rsid w:val="520D52C9"/>
    <w:rsid w:val="523F4F93"/>
    <w:rsid w:val="528D7BED"/>
    <w:rsid w:val="53247BAF"/>
    <w:rsid w:val="53A10DF4"/>
    <w:rsid w:val="540D4984"/>
    <w:rsid w:val="54250601"/>
    <w:rsid w:val="54C8428D"/>
    <w:rsid w:val="55685408"/>
    <w:rsid w:val="55BE6EB5"/>
    <w:rsid w:val="55E84DF5"/>
    <w:rsid w:val="56885205"/>
    <w:rsid w:val="56DD60E4"/>
    <w:rsid w:val="57215A1C"/>
    <w:rsid w:val="5939E1CE"/>
    <w:rsid w:val="59AB6A6B"/>
    <w:rsid w:val="59CE59B4"/>
    <w:rsid w:val="5A5E30FC"/>
    <w:rsid w:val="5B5A4DA6"/>
    <w:rsid w:val="5B82592A"/>
    <w:rsid w:val="5BBF2F3C"/>
    <w:rsid w:val="5BD610FA"/>
    <w:rsid w:val="5C304DFB"/>
    <w:rsid w:val="5C630FE4"/>
    <w:rsid w:val="5C721B84"/>
    <w:rsid w:val="5CA4718F"/>
    <w:rsid w:val="5D174575"/>
    <w:rsid w:val="5D760DFE"/>
    <w:rsid w:val="5DDF1C70"/>
    <w:rsid w:val="5E0B3FCB"/>
    <w:rsid w:val="5E323B4E"/>
    <w:rsid w:val="5E615276"/>
    <w:rsid w:val="5EAA507B"/>
    <w:rsid w:val="5EF041EF"/>
    <w:rsid w:val="5FA32DAE"/>
    <w:rsid w:val="603E6F8A"/>
    <w:rsid w:val="604E2F02"/>
    <w:rsid w:val="6083452C"/>
    <w:rsid w:val="60B11141"/>
    <w:rsid w:val="615F7D9F"/>
    <w:rsid w:val="617D0CC9"/>
    <w:rsid w:val="6221667B"/>
    <w:rsid w:val="622670D6"/>
    <w:rsid w:val="624D3EA2"/>
    <w:rsid w:val="6299197D"/>
    <w:rsid w:val="629D286D"/>
    <w:rsid w:val="62A71C28"/>
    <w:rsid w:val="63226F84"/>
    <w:rsid w:val="63625B1F"/>
    <w:rsid w:val="6393347A"/>
    <w:rsid w:val="64332F77"/>
    <w:rsid w:val="64ED3F81"/>
    <w:rsid w:val="65363967"/>
    <w:rsid w:val="659C1B8E"/>
    <w:rsid w:val="666425E8"/>
    <w:rsid w:val="666C42D0"/>
    <w:rsid w:val="667BA8D2"/>
    <w:rsid w:val="6684666F"/>
    <w:rsid w:val="66912D2B"/>
    <w:rsid w:val="66A36A33"/>
    <w:rsid w:val="671F090C"/>
    <w:rsid w:val="67574295"/>
    <w:rsid w:val="67B7BEF9"/>
    <w:rsid w:val="67FD94E6"/>
    <w:rsid w:val="68BB6D3C"/>
    <w:rsid w:val="69535D65"/>
    <w:rsid w:val="69675CFC"/>
    <w:rsid w:val="69814FC0"/>
    <w:rsid w:val="69847594"/>
    <w:rsid w:val="699F67EC"/>
    <w:rsid w:val="69E734ED"/>
    <w:rsid w:val="69EF71CF"/>
    <w:rsid w:val="6A93090F"/>
    <w:rsid w:val="6A9338AA"/>
    <w:rsid w:val="6AB270D3"/>
    <w:rsid w:val="6ADD324F"/>
    <w:rsid w:val="6ADF354C"/>
    <w:rsid w:val="6B01630B"/>
    <w:rsid w:val="6B404032"/>
    <w:rsid w:val="6B777EDD"/>
    <w:rsid w:val="6BF36303"/>
    <w:rsid w:val="6CD57C0C"/>
    <w:rsid w:val="6CFD7D62"/>
    <w:rsid w:val="6D3150D9"/>
    <w:rsid w:val="6D371D20"/>
    <w:rsid w:val="6D987B6B"/>
    <w:rsid w:val="6DA2673A"/>
    <w:rsid w:val="6EC2024E"/>
    <w:rsid w:val="6EE92BE0"/>
    <w:rsid w:val="6F711CFE"/>
    <w:rsid w:val="70200D59"/>
    <w:rsid w:val="712718DD"/>
    <w:rsid w:val="71637525"/>
    <w:rsid w:val="7197356F"/>
    <w:rsid w:val="72161A5B"/>
    <w:rsid w:val="729911B6"/>
    <w:rsid w:val="72AF40B1"/>
    <w:rsid w:val="73026C43"/>
    <w:rsid w:val="736E0413"/>
    <w:rsid w:val="737472EA"/>
    <w:rsid w:val="738E1207"/>
    <w:rsid w:val="73AC1EE3"/>
    <w:rsid w:val="73BD2F6D"/>
    <w:rsid w:val="73BD7980"/>
    <w:rsid w:val="73DFD7A5"/>
    <w:rsid w:val="73FFB2B7"/>
    <w:rsid w:val="75190832"/>
    <w:rsid w:val="75773590"/>
    <w:rsid w:val="759B47BF"/>
    <w:rsid w:val="77BFB88A"/>
    <w:rsid w:val="791E054C"/>
    <w:rsid w:val="792E1FB3"/>
    <w:rsid w:val="795A3050"/>
    <w:rsid w:val="79AE47DB"/>
    <w:rsid w:val="79F55A9E"/>
    <w:rsid w:val="7A3844FE"/>
    <w:rsid w:val="7AAD19B6"/>
    <w:rsid w:val="7AB012D5"/>
    <w:rsid w:val="7B481EA2"/>
    <w:rsid w:val="7BCB6455"/>
    <w:rsid w:val="7BCEEABA"/>
    <w:rsid w:val="7BD76F1D"/>
    <w:rsid w:val="7C3F1DDB"/>
    <w:rsid w:val="7C75DFA4"/>
    <w:rsid w:val="7CF93481"/>
    <w:rsid w:val="7DCA1BDB"/>
    <w:rsid w:val="7E0B0623"/>
    <w:rsid w:val="7E9506E3"/>
    <w:rsid w:val="7EBFF58A"/>
    <w:rsid w:val="7F0C3EA1"/>
    <w:rsid w:val="7F3E4916"/>
    <w:rsid w:val="7F4219F6"/>
    <w:rsid w:val="7F5D25CC"/>
    <w:rsid w:val="7F5FBB54"/>
    <w:rsid w:val="7F99DDDE"/>
    <w:rsid w:val="7FDF972A"/>
    <w:rsid w:val="8CF954C6"/>
    <w:rsid w:val="AFF7EB7D"/>
    <w:rsid w:val="AFFA06F6"/>
    <w:rsid w:val="B78ED219"/>
    <w:rsid w:val="BA754E1B"/>
    <w:rsid w:val="BDBB7A91"/>
    <w:rsid w:val="BF27E1D6"/>
    <w:rsid w:val="BF7B02D1"/>
    <w:rsid w:val="BF971859"/>
    <w:rsid w:val="C9B74EC5"/>
    <w:rsid w:val="CEFFB7B5"/>
    <w:rsid w:val="DEE7932C"/>
    <w:rsid w:val="DEEF0AC0"/>
    <w:rsid w:val="DFAF727A"/>
    <w:rsid w:val="DFD94AC1"/>
    <w:rsid w:val="DFFE7072"/>
    <w:rsid w:val="DFFFB982"/>
    <w:rsid w:val="E5F75609"/>
    <w:rsid w:val="EFEF0FB5"/>
    <w:rsid w:val="F05F69E7"/>
    <w:rsid w:val="F3B2D0B8"/>
    <w:rsid w:val="F55E3177"/>
    <w:rsid w:val="FAD49F1B"/>
    <w:rsid w:val="FC1B9B9C"/>
    <w:rsid w:val="FD5D2BC4"/>
    <w:rsid w:val="FE7FFF33"/>
    <w:rsid w:val="FEAEA77A"/>
    <w:rsid w:val="FFBDC935"/>
    <w:rsid w:val="FFC7AF5E"/>
    <w:rsid w:val="FFFFC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styleId="10">
    <w:name w:val="List Paragraph"/>
    <w:basedOn w:val="1"/>
    <w:unhideWhenUsed/>
    <w:qFormat/>
    <w:uiPriority w:val="99"/>
    <w:pPr>
      <w:ind w:firstLine="420" w:firstLineChars="200"/>
    </w:pPr>
  </w:style>
  <w:style w:type="character" w:customStyle="1" w:styleId="11">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1136</Words>
  <Characters>6478</Characters>
  <Lines>53</Lines>
  <Paragraphs>15</Paragraphs>
  <TotalTime>7</TotalTime>
  <ScaleCrop>false</ScaleCrop>
  <LinksUpToDate>false</LinksUpToDate>
  <CharactersWithSpaces>7599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2023-05-31T07:50:00Z</dcterms:created>
  <dc:creator>Administrator</dc:creator>
  <cp:lastModifiedBy>学术</cp:lastModifiedBy>
  <cp:lastPrinted>2023-08-31T18:24:00Z</cp:lastPrinted>
  <dcterms:modified xsi:type="dcterms:W3CDTF">2023-09-18T10:12:46Z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E0930A85D7FD41C8BAA1972FB620CD55_13</vt:lpwstr>
  </property>
</Properties>
</file>