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174" w:type="pct"/>
        <w:tblInd w:w="0" w:type="dxa"/>
        <w:tblLayout w:type="fixed"/>
        <w:tblCellMar>
          <w:top w:w="0" w:type="dxa"/>
          <w:left w:w="108" w:type="dxa"/>
          <w:bottom w:w="0" w:type="dxa"/>
          <w:right w:w="108" w:type="dxa"/>
        </w:tblCellMar>
      </w:tblPr>
      <w:tblGrid>
        <w:gridCol w:w="720"/>
        <w:gridCol w:w="1230"/>
        <w:gridCol w:w="2827"/>
        <w:gridCol w:w="1432"/>
        <w:gridCol w:w="6794"/>
        <w:gridCol w:w="930"/>
        <w:gridCol w:w="735"/>
      </w:tblGrid>
      <w:tr>
        <w:tblPrEx>
          <w:tblCellMar>
            <w:top w:w="0" w:type="dxa"/>
            <w:left w:w="108" w:type="dxa"/>
            <w:bottom w:w="0" w:type="dxa"/>
            <w:right w:w="108" w:type="dxa"/>
          </w:tblCellMar>
        </w:tblPrEx>
        <w:trPr>
          <w:trHeight w:val="501" w:hRule="atLeast"/>
        </w:trPr>
        <w:tc>
          <w:tcPr>
            <w:tcW w:w="5000" w:type="pct"/>
            <w:gridSpan w:val="7"/>
            <w:tcBorders>
              <w:top w:val="nil"/>
              <w:left w:val="nil"/>
              <w:bottom w:val="nil"/>
            </w:tcBorders>
            <w:shd w:val="clear" w:color="auto" w:fill="auto"/>
            <w:noWrap/>
            <w:vAlign w:val="bottom"/>
          </w:tcPr>
          <w:p>
            <w:pPr>
              <w:widowControl/>
              <w:jc w:val="left"/>
              <w:rPr>
                <w:rFonts w:ascii="Times New Roman" w:hAnsi="Times New Roman" w:eastAsia="Times New Roman" w:cs="Times New Roman"/>
                <w:kern w:val="0"/>
                <w:sz w:val="20"/>
                <w:szCs w:val="20"/>
              </w:rPr>
            </w:pPr>
            <w:r>
              <w:rPr>
                <w:rFonts w:hint="eastAsia" w:ascii="黑体" w:hAnsi="黑体" w:eastAsia="黑体" w:cs="黑体"/>
                <w:color w:val="000000"/>
                <w:kern w:val="0"/>
                <w:sz w:val="32"/>
                <w:szCs w:val="28"/>
              </w:rPr>
              <w:t>附件3</w:t>
            </w:r>
          </w:p>
        </w:tc>
      </w:tr>
      <w:tr>
        <w:tblPrEx>
          <w:tblCellMar>
            <w:top w:w="0" w:type="dxa"/>
            <w:left w:w="108" w:type="dxa"/>
            <w:bottom w:w="0" w:type="dxa"/>
            <w:right w:w="108" w:type="dxa"/>
          </w:tblCellMar>
        </w:tblPrEx>
        <w:trPr>
          <w:trHeight w:val="756" w:hRule="atLeast"/>
        </w:trPr>
        <w:tc>
          <w:tcPr>
            <w:tcW w:w="5000" w:type="pct"/>
            <w:gridSpan w:val="7"/>
            <w:tcBorders>
              <w:top w:val="nil"/>
              <w:left w:val="nil"/>
              <w:bottom w:val="nil"/>
              <w:right w:val="nil"/>
            </w:tcBorders>
            <w:shd w:val="clear" w:color="auto" w:fill="auto"/>
            <w:noWrap/>
            <w:vAlign w:val="center"/>
          </w:tcPr>
          <w:p>
            <w:pPr>
              <w:widowControl/>
              <w:spacing w:line="500" w:lineRule="exact"/>
              <w:jc w:val="center"/>
              <w:rPr>
                <w:rFonts w:ascii="方正小标宋简体" w:hAnsi="等线" w:eastAsia="方正小标宋简体" w:cs="宋体"/>
                <w:color w:val="000000"/>
                <w:kern w:val="0"/>
                <w:sz w:val="36"/>
                <w:szCs w:val="36"/>
              </w:rPr>
            </w:pPr>
            <w:r>
              <w:rPr>
                <w:rFonts w:hint="eastAsia" w:ascii="方正小标宋简体" w:hAnsi="方正小标宋简体" w:eastAsia="方正小标宋简体" w:cs="方正小标宋简体"/>
                <w:color w:val="000000"/>
                <w:kern w:val="0"/>
                <w:sz w:val="44"/>
                <w:szCs w:val="36"/>
              </w:rPr>
              <mc:AlternateContent>
                <mc:Choice Requires="wps">
                  <w:drawing>
                    <wp:anchor distT="0" distB="0" distL="114300" distR="114300" simplePos="0" relativeHeight="251659264" behindDoc="0" locked="0" layoutInCell="1" hidden="true" allowOverlap="1">
                      <wp:simplePos x="0" y="0"/>
                      <wp:positionH relativeFrom="column">
                        <wp:posOffset>-1041400</wp:posOffset>
                      </wp:positionH>
                      <wp:positionV relativeFrom="paragraph">
                        <wp:posOffset>-1169670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tru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82pt;margin-top:-92.1pt;height:5pt;width:5pt;visibility:hidden;z-index:251659264;v-text-anchor:middle;mso-width-relative:page;mso-height-relative:page;" fillcolor="#4F81BD [3204]" filled="t" stroked="t" coordsize="21600,21600" o:gfxdata="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WAAAAZHJzL1BL&#10;AQIUABQAAAAIAIdO4kC8DNjC2gAAAA8BAAAPAAAAAAAAAAEAIAAAADgAAABkcnMvZG93bnJldi54&#10;bWxQSwECFAAUAAAACACHTuJA6Zggo44EAABtBwAADgAAAAAAAAABACAAAAA/AQAAZHJzL2Uyb0Rv&#10;Yy54bWxQSwUGAAAAAAYABgBZAQAAPwgAAAAA&#10;">
                      <v:fill on="t" focussize="0,0"/>
                      <v:stroke weight="2pt" color="#385D8A [3204]" joinstyle="round"/>
                      <v:imagedata o:title=""/>
                      <o:lock v:ext="edit" aspectratio="f"/>
                    </v:rect>
                  </w:pict>
                </mc:Fallback>
              </mc:AlternateContent>
            </w:r>
            <w:r>
              <w:rPr>
                <w:rFonts w:hint="eastAsia" w:ascii="方正小标宋简体" w:hAnsi="方正小标宋简体" w:eastAsia="方正小标宋简体" w:cs="方正小标宋简体"/>
                <w:color w:val="000000"/>
                <w:kern w:val="0"/>
                <w:sz w:val="44"/>
                <w:szCs w:val="36"/>
              </w:rPr>
              <w:t>济南市区县社会工作服务总站运营评估标准</w:t>
            </w:r>
          </w:p>
        </w:tc>
      </w:tr>
      <w:tr>
        <w:tblPrEx>
          <w:tblCellMar>
            <w:top w:w="0" w:type="dxa"/>
            <w:left w:w="108" w:type="dxa"/>
            <w:bottom w:w="0" w:type="dxa"/>
            <w:right w:w="108" w:type="dxa"/>
          </w:tblCellMar>
        </w:tblPrEx>
        <w:trPr>
          <w:trHeight w:val="519" w:hRule="atLeast"/>
        </w:trPr>
        <w:tc>
          <w:tcPr>
            <w:tcW w:w="5000" w:type="pct"/>
            <w:gridSpan w:val="7"/>
            <w:tcBorders>
              <w:bottom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参评单位：                                        评估员：                            评估日期：</w:t>
            </w:r>
            <w:r>
              <w:rPr>
                <w:rFonts w:hint="eastAsia" w:ascii="仿宋" w:hAnsi="仿宋" w:eastAsia="仿宋" w:cs="宋体"/>
                <w:b/>
                <w:bCs/>
                <w:color w:val="000000"/>
                <w:kern w:val="0"/>
                <w:szCs w:val="21"/>
              </w:rPr>
              <w:t xml:space="preserve"> </w:t>
            </w:r>
          </w:p>
        </w:tc>
      </w:tr>
      <w:tr>
        <w:tblPrEx>
          <w:tblCellMar>
            <w:top w:w="0" w:type="dxa"/>
            <w:left w:w="108" w:type="dxa"/>
            <w:bottom w:w="0" w:type="dxa"/>
            <w:right w:w="108" w:type="dxa"/>
          </w:tblCellMar>
        </w:tblPrEx>
        <w:trPr>
          <w:trHeight w:val="450" w:hRule="atLeast"/>
        </w:trPr>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bookmarkStart w:id="0" w:name="_Hlk126677629"/>
            <w:r>
              <w:rPr>
                <w:rFonts w:hint="eastAsia" w:ascii="黑体" w:hAnsi="黑体" w:eastAsia="黑体" w:cs="宋体"/>
                <w:color w:val="000000"/>
                <w:kern w:val="0"/>
                <w:sz w:val="24"/>
                <w:szCs w:val="24"/>
              </w:rPr>
              <w:t>序号</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9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4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23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评分说明</w:t>
            </w:r>
          </w:p>
        </w:tc>
        <w:tc>
          <w:tcPr>
            <w:tcW w:w="3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bookmarkEnd w:id="0"/>
      <w:tr>
        <w:tblPrEx>
          <w:tblCellMar>
            <w:top w:w="0" w:type="dxa"/>
            <w:left w:w="108" w:type="dxa"/>
            <w:bottom w:w="0" w:type="dxa"/>
            <w:right w:w="108" w:type="dxa"/>
          </w:tblCellMar>
        </w:tblPrEx>
        <w:trPr>
          <w:trHeight w:val="2184" w:hRule="atLeast"/>
        </w:trPr>
        <w:tc>
          <w:tcPr>
            <w:tcW w:w="245"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w:t>
            </w:r>
          </w:p>
        </w:tc>
        <w:tc>
          <w:tcPr>
            <w:tcW w:w="419"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统筹发展</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（13分）</w:t>
            </w:r>
          </w:p>
        </w:tc>
        <w:tc>
          <w:tcPr>
            <w:tcW w:w="963"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协助区县民政部门统筹本区域街镇社工站的建设工作思路和目标规划，保障项目的健康发展。（13分）</w:t>
            </w:r>
          </w:p>
        </w:tc>
        <w:tc>
          <w:tcPr>
            <w:tcW w:w="488"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年度服务计划</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（4分）</w:t>
            </w:r>
          </w:p>
        </w:tc>
        <w:tc>
          <w:tcPr>
            <w:tcW w:w="2315"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需向市级社工站指导服务中心提交年度服务计划，计划需具备专业性和可行性，按进度执行并根据实际情况作出合理调整。</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（1）提交年度服务计划（1分）：提交1分、未提交0分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（2）年度服务计划框架完整、逻辑清晰，在一定程度上能体现专业性和可行性（2分）：完全符合2分、部分符合1分、不符合0分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（3）年度服务计划按进度执行并根据实际情况作出合理调整（1分）：及时调整1分、未及时调整0分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*本选项为以上三项分别量化赋分，三项得分相加为最终本指标得分</w:t>
            </w:r>
          </w:p>
        </w:tc>
        <w:tc>
          <w:tcPr>
            <w:tcW w:w="317"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1911"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19"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963"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88"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服务需求评估</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（3分）</w:t>
            </w:r>
          </w:p>
        </w:tc>
        <w:tc>
          <w:tcPr>
            <w:tcW w:w="2315"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每个年度项目服务开始的一个月内，需结合地区实际，运用科学的方法开展服务需求调研，并撰写需求分析报告。</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（1）需求调研深入，且有具体可行的分析报告。（3分）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（2）开展需求调研，出具了分析报告，但是报告内容简略，或缺乏可行性。（2分）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（3）开展需求调研，但无分析报告。（1分）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（4）不符合上述情况。（0分）</w:t>
            </w:r>
          </w:p>
        </w:tc>
        <w:tc>
          <w:tcPr>
            <w:tcW w:w="317"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424" w:hRule="atLeast"/>
        </w:trPr>
        <w:tc>
          <w:tcPr>
            <w:tcW w:w="245"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19"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963"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88"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自评报告</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（3分）</w:t>
            </w:r>
          </w:p>
        </w:tc>
        <w:tc>
          <w:tcPr>
            <w:tcW w:w="2315"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每个年度项目服务结束前一个月内，根据实际情况，开展自评工作，撰写自评报告。</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（1）自评报告内容真实、框架完整、逻辑清晰。（3分）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（2）自评报告内容真实、框架完整。（2分）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（3）自评报告内容真实。（1分）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（4）不符合上述情况。（0分）</w:t>
            </w:r>
          </w:p>
        </w:tc>
        <w:tc>
          <w:tcPr>
            <w:tcW w:w="317"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bl>
    <w:p>
      <w:pPr>
        <w:spacing w:line="300" w:lineRule="exact"/>
        <w:rPr>
          <w:rFonts w:asciiTheme="minorEastAsia" w:hAnsiTheme="minorEastAsia"/>
          <w:sz w:val="20"/>
          <w:szCs w:val="20"/>
        </w:rPr>
      </w:pPr>
    </w:p>
    <w:p>
      <w:pPr>
        <w:spacing w:line="300" w:lineRule="exact"/>
        <w:rPr>
          <w:rFonts w:asciiTheme="minorEastAsia" w:hAnsiTheme="minorEastAsia"/>
          <w:sz w:val="20"/>
          <w:szCs w:val="20"/>
        </w:rPr>
      </w:pPr>
    </w:p>
    <w:tbl>
      <w:tblPr>
        <w:tblStyle w:val="4"/>
        <w:tblW w:w="5000" w:type="pct"/>
        <w:tblInd w:w="0" w:type="dxa"/>
        <w:tblLayout w:type="fixed"/>
        <w:tblCellMar>
          <w:top w:w="0" w:type="dxa"/>
          <w:left w:w="108" w:type="dxa"/>
          <w:bottom w:w="0" w:type="dxa"/>
          <w:right w:w="108" w:type="dxa"/>
        </w:tblCellMar>
      </w:tblPr>
      <w:tblGrid>
        <w:gridCol w:w="817"/>
        <w:gridCol w:w="1276"/>
        <w:gridCol w:w="2693"/>
        <w:gridCol w:w="1420"/>
        <w:gridCol w:w="6378"/>
        <w:gridCol w:w="709"/>
        <w:gridCol w:w="850"/>
        <w:gridCol w:w="31"/>
      </w:tblGrid>
      <w:tr>
        <w:tblPrEx>
          <w:tblCellMar>
            <w:top w:w="0" w:type="dxa"/>
            <w:left w:w="108" w:type="dxa"/>
            <w:bottom w:w="0" w:type="dxa"/>
            <w:right w:w="108" w:type="dxa"/>
          </w:tblCellMar>
        </w:tblPrEx>
        <w:trPr>
          <w:gridAfter w:val="1"/>
          <w:wAfter w:w="11" w:type="pct"/>
          <w:trHeight w:val="450" w:hRule="atLeast"/>
          <w:tblHeader/>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bookmarkStart w:id="1" w:name="_Hlk126677853"/>
            <w:r>
              <w:rPr>
                <w:rFonts w:hint="eastAsia" w:ascii="黑体" w:hAnsi="黑体" w:eastAsia="黑体" w:cs="宋体"/>
                <w:color w:val="000000"/>
                <w:kern w:val="0"/>
                <w:sz w:val="24"/>
                <w:szCs w:val="24"/>
              </w:rPr>
              <w:t>序号</w:t>
            </w:r>
          </w:p>
        </w:tc>
        <w:tc>
          <w:tcPr>
            <w:tcW w:w="4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9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501"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评分说明</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w:t>
            </w:r>
          </w:p>
        </w:tc>
        <w:tc>
          <w:tcPr>
            <w:tcW w:w="30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bookmarkEnd w:id="1"/>
      <w:tr>
        <w:tblPrEx>
          <w:tblCellMar>
            <w:top w:w="0" w:type="dxa"/>
            <w:left w:w="108" w:type="dxa"/>
            <w:bottom w:w="0" w:type="dxa"/>
            <w:right w:w="108" w:type="dxa"/>
          </w:tblCellMar>
        </w:tblPrEx>
        <w:trPr>
          <w:trHeight w:val="1701" w:hRule="atLeast"/>
        </w:trPr>
        <w:tc>
          <w:tcPr>
            <w:tcW w:w="28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w:t>
            </w:r>
          </w:p>
        </w:tc>
        <w:tc>
          <w:tcPr>
            <w:tcW w:w="45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统筹发展</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（13分）</w:t>
            </w:r>
          </w:p>
        </w:tc>
        <w:tc>
          <w:tcPr>
            <w:tcW w:w="95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协助区县民政部门统筹本区域街镇社工站的建设工作思路和目标规划，保障项目的健康发展。（13分）</w:t>
            </w:r>
          </w:p>
        </w:tc>
        <w:tc>
          <w:tcPr>
            <w:tcW w:w="5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财务管理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（3分）</w:t>
            </w: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制定财务管理制度并照章执行，包含资金的使用、管理、审批等内容的财务管理制度，并有效落实各项制度规定。</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（1）制定了财务管理制度，内容完整，并遵照制度执行，且证明材料完整。（1分）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（2）财务制度不完整或简略，或部分未按规定执行。（0.5分）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（3）不符合上述情况。（0分）</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1479" w:hRule="atLeast"/>
        </w:trPr>
        <w:tc>
          <w:tcPr>
            <w:tcW w:w="288"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501"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项目资金进行独立核算，且核算及时、无错误。</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（1）经费独立核算，且全部核算及时、无错误。（1分）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（2）经费独立核算，且大部分核算及时、无错误。（0.5分）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（3）不符合上述情况。（0分）</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1620" w:hRule="atLeast"/>
        </w:trPr>
        <w:tc>
          <w:tcPr>
            <w:tcW w:w="288"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501"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2250"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项目资金专款专用，且使用支出程序符合现行规定。</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（1）符合上述情况。（1分）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（2）不符合上述情况。（0分）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*出现资金违规使用（如挤占、截留、挪用专项资金等情况），直接扣除财务管理指标3分，并上报主管部门。</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1719" w:hRule="atLeast"/>
        </w:trPr>
        <w:tc>
          <w:tcPr>
            <w:tcW w:w="288"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p>
        </w:tc>
        <w:tc>
          <w:tcPr>
            <w:tcW w:w="45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监督管理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（18分）</w:t>
            </w:r>
          </w:p>
        </w:tc>
        <w:tc>
          <w:tcPr>
            <w:tcW w:w="95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负责街镇社工站的监督管理、运营评估工作，接收街镇社工站提交的年度服务计划，并根据情况提出合理调整建议；接收并留存街镇社工站上传的月度工作简报；对街镇社工站工作人员进行出勤管理。（18分）</w:t>
            </w:r>
          </w:p>
        </w:tc>
        <w:tc>
          <w:tcPr>
            <w:tcW w:w="501"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街镇社工站的年度服务计划</w:t>
            </w:r>
          </w:p>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（2分）</w:t>
            </w:r>
          </w:p>
        </w:tc>
        <w:tc>
          <w:tcPr>
            <w:tcW w:w="2250"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监督管理街镇社工站运营情况，收集街镇社工站提交的年度服务计划，并根据情况提出合理调整建议。</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（1）符合上述要求。（2分）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（2）部分符合上述要求（1分）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（3）不符合上述要求。（0分）</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CellMar>
            <w:top w:w="0" w:type="dxa"/>
            <w:left w:w="108" w:type="dxa"/>
            <w:bottom w:w="0" w:type="dxa"/>
            <w:right w:w="108" w:type="dxa"/>
          </w:tblCellMar>
        </w:tblPrEx>
        <w:trPr>
          <w:trHeight w:val="1380" w:hRule="atLeast"/>
        </w:trPr>
        <w:tc>
          <w:tcPr>
            <w:tcW w:w="288"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宋体" w:asciiTheme="minorEastAsia" w:hAnsiTheme="minorEastAsia"/>
                <w:color w:val="000000"/>
                <w:kern w:val="0"/>
                <w:sz w:val="20"/>
                <w:szCs w:val="20"/>
              </w:rPr>
            </w:pPr>
          </w:p>
        </w:tc>
        <w:tc>
          <w:tcPr>
            <w:tcW w:w="501"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街镇社工站月度工作简报</w:t>
            </w:r>
          </w:p>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（2分）</w:t>
            </w:r>
          </w:p>
        </w:tc>
        <w:tc>
          <w:tcPr>
            <w:tcW w:w="2250" w:type="pct"/>
            <w:tcBorders>
              <w:top w:val="nil"/>
              <w:left w:val="nil"/>
              <w:bottom w:val="single" w:color="auto" w:sz="4" w:space="0"/>
              <w:right w:val="single" w:color="auto" w:sz="4" w:space="0"/>
            </w:tcBorders>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及时收集并留存街镇社工站的月度工作简报，并监督街镇社工站及时上传“中国社会工作网”系统。</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（1）符合上述要求。（2分）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（2）部分符合上述要求（1分）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（3）不符合上述要求。（0分）</w:t>
            </w:r>
          </w:p>
        </w:tc>
        <w:tc>
          <w:tcPr>
            <w:tcW w:w="250" w:type="pc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bl>
    <w:p>
      <w:pPr>
        <w:spacing w:line="300" w:lineRule="exact"/>
      </w:pPr>
    </w:p>
    <w:tbl>
      <w:tblPr>
        <w:tblStyle w:val="4"/>
        <w:tblW w:w="5000" w:type="pct"/>
        <w:tblInd w:w="0" w:type="dxa"/>
        <w:tblLayout w:type="fixed"/>
        <w:tblCellMar>
          <w:top w:w="0" w:type="dxa"/>
          <w:left w:w="108" w:type="dxa"/>
          <w:bottom w:w="0" w:type="dxa"/>
          <w:right w:w="108" w:type="dxa"/>
        </w:tblCellMar>
      </w:tblPr>
      <w:tblGrid>
        <w:gridCol w:w="817"/>
        <w:gridCol w:w="1276"/>
        <w:gridCol w:w="2693"/>
        <w:gridCol w:w="1420"/>
        <w:gridCol w:w="6378"/>
        <w:gridCol w:w="709"/>
        <w:gridCol w:w="850"/>
        <w:gridCol w:w="31"/>
      </w:tblGrid>
      <w:tr>
        <w:tblPrEx>
          <w:tblCellMar>
            <w:top w:w="0" w:type="dxa"/>
            <w:left w:w="108" w:type="dxa"/>
            <w:bottom w:w="0" w:type="dxa"/>
            <w:right w:w="108" w:type="dxa"/>
          </w:tblCellMar>
        </w:tblPrEx>
        <w:trPr>
          <w:gridAfter w:val="1"/>
          <w:wAfter w:w="11" w:type="pct"/>
          <w:trHeight w:val="450" w:hRule="atLeast"/>
          <w:tblHeader/>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bookmarkStart w:id="2" w:name="_Hlk126677922"/>
            <w:r>
              <w:rPr>
                <w:rFonts w:hint="eastAsia" w:ascii="黑体" w:hAnsi="黑体" w:eastAsia="黑体" w:cs="宋体"/>
                <w:color w:val="000000"/>
                <w:kern w:val="0"/>
                <w:sz w:val="24"/>
                <w:szCs w:val="24"/>
              </w:rPr>
              <w:t>序号</w:t>
            </w:r>
          </w:p>
        </w:tc>
        <w:tc>
          <w:tcPr>
            <w:tcW w:w="4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9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501"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评分说明</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w:t>
            </w:r>
          </w:p>
        </w:tc>
        <w:tc>
          <w:tcPr>
            <w:tcW w:w="30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88" w:type="pct"/>
            <w:vMerge w:val="restart"/>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p>
        </w:tc>
        <w:tc>
          <w:tcPr>
            <w:tcW w:w="450" w:type="pct"/>
            <w:vMerge w:val="restart"/>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监督管理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（18分）</w:t>
            </w:r>
          </w:p>
        </w:tc>
        <w:tc>
          <w:tcPr>
            <w:tcW w:w="950" w:type="pct"/>
            <w:vMerge w:val="restart"/>
            <w:vAlign w:val="center"/>
          </w:tcPr>
          <w:p>
            <w:pPr>
              <w:widowControl/>
              <w:spacing w:line="300" w:lineRule="exact"/>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负责街镇社工站的监督管理、运营评估工作，接收街镇社工站提交的年度服务计划，并根据情况提出合理调整建议；接收并留存街镇社工站上传的月度工作简报；对街镇社工站工作人员进行出勤管理。（18分）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街镇社工站每月考勤表</w:t>
            </w:r>
          </w:p>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对街镇社工站工作人员进行出勤管理，及时收集街镇社工站每月考勤表。</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（1）符合上述要求。（2分）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（2）部分符合上述要求（1分）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（3）不符合上述要求。（0分）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街镇社工站评估报告及公示（2分）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在年度项目服务结束前一个月，按照各区县要求，组织或开展街镇社工站评估工作，</w:t>
            </w:r>
            <w:r>
              <w:rPr>
                <w:rFonts w:hint="eastAsia" w:cs="宋体" w:asciiTheme="minorEastAsia" w:hAnsiTheme="minorEastAsia"/>
                <w:color w:val="000000"/>
                <w:kern w:val="0"/>
                <w:sz w:val="20"/>
                <w:szCs w:val="20"/>
                <w:lang w:eastAsia="zh-CN"/>
              </w:rPr>
              <w:t>向市级社工站指导服务中心</w:t>
            </w:r>
            <w:r>
              <w:rPr>
                <w:rFonts w:hint="eastAsia" w:cs="宋体" w:asciiTheme="minorEastAsia" w:hAnsiTheme="minorEastAsia"/>
                <w:color w:val="000000"/>
                <w:kern w:val="0"/>
                <w:sz w:val="20"/>
                <w:szCs w:val="20"/>
              </w:rPr>
              <w:t>及时提交街镇社工站评估报告</w:t>
            </w:r>
            <w:r>
              <w:rPr>
                <w:rFonts w:hint="eastAsia" w:cs="宋体" w:asciiTheme="minorEastAsia" w:hAnsiTheme="minorEastAsia"/>
                <w:color w:val="000000"/>
                <w:kern w:val="0"/>
                <w:sz w:val="20"/>
                <w:szCs w:val="20"/>
                <w:lang w:eastAsia="zh-CN"/>
              </w:rPr>
              <w:t>并</w:t>
            </w:r>
            <w:r>
              <w:rPr>
                <w:rFonts w:hint="eastAsia" w:cs="宋体" w:asciiTheme="minorEastAsia" w:hAnsiTheme="minorEastAsia"/>
                <w:color w:val="000000"/>
                <w:kern w:val="0"/>
                <w:sz w:val="20"/>
                <w:szCs w:val="20"/>
              </w:rPr>
              <w:t>公示。</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（1）符合上述要求。（2分）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（2）部分符合上述要求（1分）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（3）不符合上述要求。（0分）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w:t>
            </w:r>
          </w:p>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抽检情况</w:t>
            </w:r>
          </w:p>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（10分）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市级社工站指导服务中心按照《济南市街道（镇）社会工作服务站运营评估标准》对各区县街镇社工站进行抽检，并将抽检分数与评估分数作比对，计算平均匹配度。</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（1）平均匹配度95%（含）以上：10分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（2）平均匹配度9</w:t>
            </w:r>
            <w:r>
              <w:rPr>
                <w:rFonts w:hint="eastAsia" w:cs="宋体" w:asciiTheme="minorEastAsia" w:hAnsiTheme="minorEastAsia"/>
                <w:color w:val="000000"/>
                <w:kern w:val="0"/>
                <w:sz w:val="20"/>
                <w:szCs w:val="20"/>
                <w:lang w:val="en-US" w:eastAsia="zh-CN"/>
              </w:rPr>
              <w:t>0</w:t>
            </w:r>
            <w:r>
              <w:rPr>
                <w:rFonts w:hint="eastAsia" w:cs="宋体" w:asciiTheme="minorEastAsia" w:hAnsiTheme="minorEastAsia"/>
                <w:color w:val="000000"/>
                <w:kern w:val="0"/>
                <w:sz w:val="20"/>
                <w:szCs w:val="20"/>
              </w:rPr>
              <w:t>%</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t>9</w:t>
            </w:r>
            <w:r>
              <w:rPr>
                <w:rFonts w:hint="eastAsia" w:cs="宋体" w:asciiTheme="minorEastAsia" w:hAnsiTheme="minorEastAsia"/>
                <w:color w:val="000000"/>
                <w:kern w:val="0"/>
                <w:sz w:val="20"/>
                <w:szCs w:val="20"/>
                <w:lang w:val="en-US" w:eastAsia="zh-CN"/>
              </w:rPr>
              <w:t>5</w:t>
            </w:r>
            <w:r>
              <w:rPr>
                <w:rFonts w:hint="eastAsia" w:cs="宋体" w:asciiTheme="minorEastAsia" w:hAnsiTheme="minorEastAsia"/>
                <w:color w:val="000000"/>
                <w:kern w:val="0"/>
                <w:sz w:val="20"/>
                <w:szCs w:val="20"/>
              </w:rPr>
              <w:t>%：8分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（3）平均匹配度</w:t>
            </w:r>
            <w:r>
              <w:rPr>
                <w:rFonts w:hint="eastAsia" w:cs="宋体" w:asciiTheme="minorEastAsia" w:hAnsiTheme="minorEastAsia"/>
                <w:color w:val="000000"/>
                <w:kern w:val="0"/>
                <w:sz w:val="20"/>
                <w:szCs w:val="20"/>
                <w:lang w:val="en-US" w:eastAsia="zh-CN"/>
              </w:rPr>
              <w:t>85</w:t>
            </w:r>
            <w:r>
              <w:rPr>
                <w:rFonts w:hint="eastAsia" w:cs="宋体" w:asciiTheme="minorEastAsia" w:hAnsiTheme="minorEastAsia"/>
                <w:color w:val="000000"/>
                <w:kern w:val="0"/>
                <w:sz w:val="20"/>
                <w:szCs w:val="20"/>
              </w:rPr>
              <w:t>%</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lang w:val="en-US" w:eastAsia="zh-CN"/>
              </w:rPr>
              <w:t>90</w:t>
            </w:r>
            <w:r>
              <w:rPr>
                <w:rFonts w:hint="eastAsia" w:cs="宋体" w:asciiTheme="minorEastAsia" w:hAnsiTheme="minorEastAsia"/>
                <w:color w:val="000000"/>
                <w:kern w:val="0"/>
                <w:sz w:val="20"/>
                <w:szCs w:val="20"/>
              </w:rPr>
              <w:t>%：6分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（4）平均匹配度8</w:t>
            </w:r>
            <w:r>
              <w:rPr>
                <w:rFonts w:hint="eastAsia" w:cs="宋体" w:asciiTheme="minorEastAsia" w:hAnsiTheme="minorEastAsia"/>
                <w:color w:val="000000"/>
                <w:kern w:val="0"/>
                <w:sz w:val="20"/>
                <w:szCs w:val="20"/>
                <w:lang w:val="en-US" w:eastAsia="zh-CN"/>
              </w:rPr>
              <w:t>0</w:t>
            </w:r>
            <w:r>
              <w:rPr>
                <w:rFonts w:hint="eastAsia" w:cs="宋体" w:asciiTheme="minorEastAsia" w:hAnsiTheme="minorEastAsia"/>
                <w:color w:val="000000"/>
                <w:kern w:val="0"/>
                <w:sz w:val="20"/>
                <w:szCs w:val="20"/>
              </w:rPr>
              <w:t>%</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t>8</w:t>
            </w:r>
            <w:r>
              <w:rPr>
                <w:rFonts w:hint="eastAsia" w:cs="宋体" w:asciiTheme="minorEastAsia" w:hAnsiTheme="minorEastAsia"/>
                <w:color w:val="000000"/>
                <w:kern w:val="0"/>
                <w:sz w:val="20"/>
                <w:szCs w:val="20"/>
                <w:lang w:val="en-US" w:eastAsia="zh-CN"/>
              </w:rPr>
              <w:t>5</w:t>
            </w:r>
            <w:r>
              <w:rPr>
                <w:rFonts w:hint="eastAsia" w:cs="宋体" w:asciiTheme="minorEastAsia" w:hAnsiTheme="minorEastAsia"/>
                <w:color w:val="000000"/>
                <w:kern w:val="0"/>
                <w:sz w:val="20"/>
                <w:szCs w:val="20"/>
              </w:rPr>
              <w:t>%：4分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（5）平均匹配度80%以下：2分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单个街镇社工站匹配度计算公式：</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（100-|评估分数</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rPr>
              <w:t>抽检分数|）/100*100%</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288"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w:t>
            </w:r>
          </w:p>
        </w:tc>
        <w:tc>
          <w:tcPr>
            <w:tcW w:w="4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人才培养</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（26分）</w:t>
            </w:r>
          </w:p>
        </w:tc>
        <w:tc>
          <w:tcPr>
            <w:tcW w:w="9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开展区县和街镇相关行政管理人员、街镇社工站人员培训，培育一批稳定的、本土的专业社会工作人才队伍。（10分）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专业培训</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（10分）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组织策划专业培训，提供每次培训的培训记录（含方案、签到表、通讯稿、照片等），每次2分，最高累计得分为10分。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bl>
    <w:p>
      <w:pPr>
        <w:spacing w:line="300" w:lineRule="exact"/>
      </w:pPr>
    </w:p>
    <w:tbl>
      <w:tblPr>
        <w:tblStyle w:val="4"/>
        <w:tblW w:w="5000" w:type="pct"/>
        <w:tblInd w:w="0" w:type="dxa"/>
        <w:tblLayout w:type="fixed"/>
        <w:tblCellMar>
          <w:top w:w="0" w:type="dxa"/>
          <w:left w:w="108" w:type="dxa"/>
          <w:bottom w:w="0" w:type="dxa"/>
          <w:right w:w="108" w:type="dxa"/>
        </w:tblCellMar>
      </w:tblPr>
      <w:tblGrid>
        <w:gridCol w:w="817"/>
        <w:gridCol w:w="1276"/>
        <w:gridCol w:w="2693"/>
        <w:gridCol w:w="1420"/>
        <w:gridCol w:w="6378"/>
        <w:gridCol w:w="709"/>
        <w:gridCol w:w="850"/>
        <w:gridCol w:w="31"/>
      </w:tblGrid>
      <w:tr>
        <w:tblPrEx>
          <w:tblCellMar>
            <w:top w:w="0" w:type="dxa"/>
            <w:left w:w="108" w:type="dxa"/>
            <w:bottom w:w="0" w:type="dxa"/>
            <w:right w:w="108" w:type="dxa"/>
          </w:tblCellMar>
        </w:tblPrEx>
        <w:trPr>
          <w:gridAfter w:val="1"/>
          <w:wAfter w:w="11" w:type="pct"/>
          <w:trHeight w:val="450" w:hRule="atLeast"/>
          <w:tblHeader/>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bookmarkStart w:id="3" w:name="_Hlk126677984"/>
            <w:r>
              <w:rPr>
                <w:rFonts w:hint="eastAsia" w:ascii="黑体" w:hAnsi="黑体" w:eastAsia="黑体" w:cs="宋体"/>
                <w:color w:val="000000"/>
                <w:kern w:val="0"/>
                <w:sz w:val="24"/>
                <w:szCs w:val="24"/>
              </w:rPr>
              <w:t>序号</w:t>
            </w:r>
          </w:p>
        </w:tc>
        <w:tc>
          <w:tcPr>
            <w:tcW w:w="4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9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501"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评分说明</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w:t>
            </w:r>
          </w:p>
        </w:tc>
        <w:tc>
          <w:tcPr>
            <w:tcW w:w="30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288" w:type="pct"/>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w:t>
            </w:r>
          </w:p>
        </w:tc>
        <w:tc>
          <w:tcPr>
            <w:tcW w:w="450" w:type="pct"/>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人才培养</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（26分）</w:t>
            </w:r>
          </w:p>
        </w:tc>
        <w:tc>
          <w:tcPr>
            <w:tcW w:w="9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统筹及落实街镇社工站督导工作，以持续、贴身的专业服务支持、陪伴社工成长，确保社会工作服务站项目有序发展。（16分）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专业督导</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（16分）</w:t>
            </w:r>
          </w:p>
        </w:tc>
        <w:tc>
          <w:tcPr>
            <w:tcW w:w="2250" w:type="pct"/>
            <w:shd w:val="clear" w:color="auto" w:fill="auto"/>
            <w:vAlign w:val="center"/>
          </w:tcPr>
          <w:p>
            <w:pPr>
              <w:widowControl/>
              <w:spacing w:line="300" w:lineRule="exact"/>
              <w:rPr>
                <w:rFonts w:cs="宋体" w:asciiTheme="minorEastAsia" w:hAnsiTheme="minorEastAsia"/>
                <w:kern w:val="0"/>
                <w:sz w:val="20"/>
                <w:szCs w:val="20"/>
              </w:rPr>
            </w:pPr>
            <w:r>
              <w:rPr>
                <w:rFonts w:hint="eastAsia" w:cs="宋体" w:asciiTheme="minorEastAsia" w:hAnsiTheme="minorEastAsia"/>
                <w:kern w:val="0"/>
                <w:sz w:val="20"/>
                <w:szCs w:val="20"/>
              </w:rPr>
              <w:t>组织或开展专业督导，提供每次督导的记录（含督导计划表和督导记录表等），每次督导时长不少于2小时，对本区县所有街镇社工站分别督导1次为1轮，每轮4分，最高累计得分为16分。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88" w:type="pct"/>
            <w:vMerge w:val="restar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4</w:t>
            </w:r>
          </w:p>
        </w:tc>
        <w:tc>
          <w:tcPr>
            <w:tcW w:w="450" w:type="pct"/>
            <w:vMerge w:val="restar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宣传推广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（12分）</w:t>
            </w:r>
          </w:p>
        </w:tc>
        <w:tc>
          <w:tcPr>
            <w:tcW w:w="950" w:type="pct"/>
            <w:vMerge w:val="restar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开展社会工作服务站宣传，传播社会工作理念。（12分）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宣传平台</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有自行运营的宣传平台，可进行日常的街镇社工站的宣传工作。</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（1）符合上述要求。（2分）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（2）不符合上述要求。（0分）</w:t>
            </w:r>
          </w:p>
        </w:tc>
        <w:tc>
          <w:tcPr>
            <w:tcW w:w="250" w:type="pct"/>
            <w:shd w:val="clear" w:color="auto" w:fill="auto"/>
            <w:vAlign w:val="center"/>
          </w:tcPr>
          <w:p>
            <w:pPr>
              <w:widowControl/>
              <w:spacing w:line="300" w:lineRule="exact"/>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媒体报道</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（6分）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获得市级（含）以上媒体（包括但不限于报刊、杂志、电视、广播、网络）对社工总站开展服务的正面报道，积极向“济南社工”微信公众平台投稿。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（1）国家级为2分/篇：</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（2）省级为1分/篇；</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（3）市级及“济南社工”微信公众平台为0.5分/篇；</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注：最高累计得分为6分。</w:t>
            </w:r>
          </w:p>
        </w:tc>
        <w:tc>
          <w:tcPr>
            <w:tcW w:w="250" w:type="pct"/>
            <w:shd w:val="clear" w:color="auto" w:fill="auto"/>
            <w:vAlign w:val="center"/>
          </w:tcPr>
          <w:p>
            <w:pPr>
              <w:widowControl/>
              <w:spacing w:line="300" w:lineRule="exact"/>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社会工作主题宣传</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组织策划社会工作主题宣传活动等（含方案、签到表、通讯稿、照片等）一次2分，最高累计得分为4分。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88"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5</w:t>
            </w:r>
          </w:p>
        </w:tc>
        <w:tc>
          <w:tcPr>
            <w:tcW w:w="4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模式研究</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（6分）</w:t>
            </w:r>
          </w:p>
        </w:tc>
        <w:tc>
          <w:tcPr>
            <w:tcW w:w="9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加强社会工作研究，探索、总结适合本区县的社会工作服务模式。（6分）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研究成果</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（6分）</w:t>
            </w:r>
          </w:p>
        </w:tc>
        <w:tc>
          <w:tcPr>
            <w:tcW w:w="2250" w:type="pc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在区县级以上平台发布的论文、案例、服务模式等，1个2分，最高累计得分为6分。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文件</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查阅</w:t>
            </w:r>
          </w:p>
        </w:tc>
      </w:tr>
    </w:tbl>
    <w:p>
      <w:pPr>
        <w:spacing w:line="300" w:lineRule="exact"/>
      </w:pPr>
    </w:p>
    <w:tbl>
      <w:tblPr>
        <w:tblStyle w:val="4"/>
        <w:tblW w:w="5000" w:type="pct"/>
        <w:tblInd w:w="0" w:type="dxa"/>
        <w:tblLayout w:type="fixed"/>
        <w:tblCellMar>
          <w:top w:w="0" w:type="dxa"/>
          <w:left w:w="108" w:type="dxa"/>
          <w:bottom w:w="0" w:type="dxa"/>
          <w:right w:w="108" w:type="dxa"/>
        </w:tblCellMar>
      </w:tblPr>
      <w:tblGrid>
        <w:gridCol w:w="817"/>
        <w:gridCol w:w="1276"/>
        <w:gridCol w:w="2693"/>
        <w:gridCol w:w="1420"/>
        <w:gridCol w:w="6378"/>
        <w:gridCol w:w="709"/>
        <w:gridCol w:w="850"/>
        <w:gridCol w:w="31"/>
      </w:tblGrid>
      <w:tr>
        <w:tblPrEx>
          <w:tblCellMar>
            <w:top w:w="0" w:type="dxa"/>
            <w:left w:w="108" w:type="dxa"/>
            <w:bottom w:w="0" w:type="dxa"/>
            <w:right w:w="108" w:type="dxa"/>
          </w:tblCellMar>
        </w:tblPrEx>
        <w:trPr>
          <w:gridAfter w:val="1"/>
          <w:wAfter w:w="11" w:type="pct"/>
          <w:trHeight w:val="450" w:hRule="atLeast"/>
          <w:tblHeader/>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4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9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501"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2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评分说明</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得分</w:t>
            </w:r>
          </w:p>
        </w:tc>
        <w:tc>
          <w:tcPr>
            <w:tcW w:w="30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8" w:type="pct"/>
            <w:vMerge w:val="restar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w:t>
            </w:r>
          </w:p>
        </w:tc>
        <w:tc>
          <w:tcPr>
            <w:tcW w:w="450" w:type="pct"/>
            <w:vMerge w:val="restar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（25分）</w:t>
            </w:r>
          </w:p>
        </w:tc>
        <w:tc>
          <w:tcPr>
            <w:tcW w:w="950" w:type="pct"/>
            <w:vMerge w:val="restart"/>
            <w:shd w:val="clear" w:color="auto" w:fill="auto"/>
            <w:vAlign w:val="center"/>
          </w:tcPr>
          <w:p>
            <w:pPr>
              <w:widowControl/>
              <w:spacing w:line="300" w:lineRule="exac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加强与街道办事处（镇人民政府）、街镇社工站承接机构等有关部门沟通协调，确保社会工作服务站有关政策落实。（25分）</w:t>
            </w: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市级评价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（5分）</w:t>
            </w:r>
          </w:p>
        </w:tc>
        <w:tc>
          <w:tcPr>
            <w:tcW w:w="2250" w:type="pct"/>
            <w:vMerge w:val="restart"/>
            <w:shd w:val="clear" w:color="auto" w:fill="auto"/>
            <w:vAlign w:val="center"/>
          </w:tcPr>
          <w:p>
            <w:pPr>
              <w:widowControl/>
              <w:spacing w:line="300" w:lineRule="exact"/>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按照《济南市区县社会工作服务总站综合评价表》（满分10分），采用抽样调查方式，收集各相关方对社工总站所开展服务的满意度，以及对服务效果等方面的综合评价。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（1）平均分：9分（含）以上：5分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（2）平均分：</w:t>
            </w:r>
            <w:r>
              <w:rPr>
                <w:rFonts w:hint="eastAsia" w:cs="宋体" w:asciiTheme="minorEastAsia" w:hAnsiTheme="minorEastAsia"/>
                <w:color w:val="000000"/>
                <w:kern w:val="0"/>
                <w:sz w:val="20"/>
                <w:szCs w:val="20"/>
                <w:lang w:val="en-US" w:eastAsia="zh-CN"/>
              </w:rPr>
              <w:t>8</w:t>
            </w:r>
            <w:r>
              <w:rPr>
                <w:rFonts w:hint="eastAsia" w:cs="宋体" w:asciiTheme="minorEastAsia" w:hAnsiTheme="minorEastAsia"/>
                <w:color w:val="000000"/>
                <w:kern w:val="0"/>
                <w:sz w:val="20"/>
                <w:szCs w:val="20"/>
              </w:rPr>
              <w:t>分</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lang w:val="en-US" w:eastAsia="zh-CN"/>
              </w:rPr>
              <w:t>9</w:t>
            </w:r>
            <w:r>
              <w:rPr>
                <w:rFonts w:hint="eastAsia" w:cs="宋体" w:asciiTheme="minorEastAsia" w:hAnsiTheme="minorEastAsia"/>
                <w:color w:val="000000"/>
                <w:kern w:val="0"/>
                <w:sz w:val="20"/>
                <w:szCs w:val="20"/>
              </w:rPr>
              <w:t>分：4分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（3）平均分：</w:t>
            </w:r>
            <w:r>
              <w:rPr>
                <w:rFonts w:hint="eastAsia" w:cs="宋体" w:asciiTheme="minorEastAsia" w:hAnsiTheme="minorEastAsia"/>
                <w:color w:val="000000"/>
                <w:kern w:val="0"/>
                <w:sz w:val="20"/>
                <w:szCs w:val="20"/>
                <w:lang w:val="en-US" w:eastAsia="zh-CN"/>
              </w:rPr>
              <w:t>7</w:t>
            </w:r>
            <w:r>
              <w:rPr>
                <w:rFonts w:hint="eastAsia" w:cs="宋体" w:asciiTheme="minorEastAsia" w:hAnsiTheme="minorEastAsia"/>
                <w:color w:val="000000"/>
                <w:kern w:val="0"/>
                <w:sz w:val="20"/>
                <w:szCs w:val="20"/>
              </w:rPr>
              <w:t>分</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lang w:val="en-US" w:eastAsia="zh-CN"/>
              </w:rPr>
              <w:t>8</w:t>
            </w:r>
            <w:r>
              <w:rPr>
                <w:rFonts w:hint="eastAsia" w:cs="宋体" w:asciiTheme="minorEastAsia" w:hAnsiTheme="minorEastAsia"/>
                <w:color w:val="000000"/>
                <w:kern w:val="0"/>
                <w:sz w:val="20"/>
                <w:szCs w:val="20"/>
              </w:rPr>
              <w:t>分：3分</w:t>
            </w:r>
            <w:bookmarkStart w:id="4" w:name="_GoBack"/>
            <w:bookmarkEnd w:id="4"/>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（4）平均分：</w:t>
            </w:r>
            <w:r>
              <w:rPr>
                <w:rFonts w:hint="eastAsia" w:cs="宋体" w:asciiTheme="minorEastAsia" w:hAnsiTheme="minorEastAsia"/>
                <w:color w:val="000000"/>
                <w:kern w:val="0"/>
                <w:sz w:val="20"/>
                <w:szCs w:val="20"/>
                <w:lang w:val="en-US" w:eastAsia="zh-CN"/>
              </w:rPr>
              <w:t>6</w:t>
            </w:r>
            <w:r>
              <w:rPr>
                <w:rFonts w:hint="eastAsia" w:cs="宋体" w:asciiTheme="minorEastAsia" w:hAnsiTheme="minorEastAsia"/>
                <w:color w:val="000000"/>
                <w:kern w:val="0"/>
                <w:sz w:val="20"/>
                <w:szCs w:val="20"/>
              </w:rPr>
              <w:t>分</w:t>
            </w:r>
            <w:r>
              <w:rPr>
                <w:rFonts w:hint="eastAsia" w:cs="宋体" w:asciiTheme="minorEastAsia" w:hAnsiTheme="minorEastAsia"/>
                <w:color w:val="000000"/>
                <w:kern w:val="0"/>
                <w:sz w:val="20"/>
                <w:szCs w:val="20"/>
              </w:rPr>
              <w:t>（含）</w:t>
            </w:r>
            <w:r>
              <w:rPr>
                <w:rFonts w:hint="eastAsia" w:cs="宋体" w:asciiTheme="minorEastAsia" w:hAnsiTheme="minorEastAsia"/>
                <w:color w:val="000000"/>
                <w:kern w:val="0"/>
                <w:sz w:val="20"/>
                <w:szCs w:val="20"/>
                <w:lang w:eastAsia="zh-CN"/>
              </w:rPr>
              <w:t>—</w:t>
            </w:r>
            <w:r>
              <w:rPr>
                <w:rFonts w:hint="eastAsia" w:cs="宋体" w:asciiTheme="minorEastAsia" w:hAnsiTheme="minorEastAsia"/>
                <w:color w:val="000000"/>
                <w:kern w:val="0"/>
                <w:sz w:val="20"/>
                <w:szCs w:val="20"/>
                <w:lang w:val="en-US" w:eastAsia="zh-CN"/>
              </w:rPr>
              <w:t>7</w:t>
            </w:r>
            <w:r>
              <w:rPr>
                <w:rFonts w:hint="eastAsia" w:cs="宋体" w:asciiTheme="minorEastAsia" w:hAnsiTheme="minorEastAsia"/>
                <w:color w:val="000000"/>
                <w:kern w:val="0"/>
                <w:sz w:val="20"/>
                <w:szCs w:val="20"/>
              </w:rPr>
              <w:t>分：2分</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（5）平均分：6分以下：1分</w:t>
            </w: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区县评价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（5分）</w:t>
            </w:r>
          </w:p>
        </w:tc>
        <w:tc>
          <w:tcPr>
            <w:tcW w:w="22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（5分）</w:t>
            </w:r>
          </w:p>
        </w:tc>
        <w:tc>
          <w:tcPr>
            <w:tcW w:w="22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承接机构评价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（5分）</w:t>
            </w:r>
          </w:p>
        </w:tc>
        <w:tc>
          <w:tcPr>
            <w:tcW w:w="22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4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9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501"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街镇社工站</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评价</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（5分）</w:t>
            </w:r>
          </w:p>
        </w:tc>
        <w:tc>
          <w:tcPr>
            <w:tcW w:w="2250" w:type="pct"/>
            <w:vMerge w:val="continue"/>
            <w:vAlign w:val="center"/>
          </w:tcPr>
          <w:p>
            <w:pPr>
              <w:widowControl/>
              <w:spacing w:line="300" w:lineRule="exact"/>
              <w:jc w:val="left"/>
              <w:rPr>
                <w:rFonts w:cs="宋体" w:asciiTheme="minorEastAsia" w:hAnsiTheme="minorEastAsia"/>
                <w:color w:val="000000"/>
                <w:kern w:val="0"/>
                <w:sz w:val="20"/>
                <w:szCs w:val="20"/>
              </w:rPr>
            </w:pPr>
          </w:p>
        </w:tc>
        <w:tc>
          <w:tcPr>
            <w:tcW w:w="250" w:type="pct"/>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11" w:type="pct"/>
            <w:gridSpan w:val="2"/>
            <w:shd w:val="clear" w:color="auto" w:fill="auto"/>
            <w:vAlign w:val="center"/>
          </w:tcPr>
          <w:p>
            <w:pPr>
              <w:widowControl/>
              <w:spacing w:line="300" w:lineRule="exact"/>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走访</w:t>
            </w:r>
            <w:r>
              <w:rPr>
                <w:rFonts w:hint="eastAsia" w:cs="宋体" w:asciiTheme="minorEastAsia" w:hAnsiTheme="minorEastAsia"/>
                <w:color w:val="000000"/>
                <w:kern w:val="0"/>
                <w:sz w:val="20"/>
                <w:szCs w:val="20"/>
              </w:rPr>
              <w:br w:type="textWrapping"/>
            </w:r>
            <w:r>
              <w:rPr>
                <w:rFonts w:hint="eastAsia" w:cs="宋体" w:asciiTheme="minorEastAsia" w:hAnsiTheme="minorEastAsia"/>
                <w:color w:val="000000"/>
                <w:kern w:val="0"/>
                <w:sz w:val="20"/>
                <w:szCs w:val="20"/>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89" w:type="pct"/>
            <w:gridSpan w:val="4"/>
            <w:shd w:val="clear" w:color="auto" w:fill="auto"/>
            <w:noWrap/>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评估信息真实性</w:t>
            </w:r>
          </w:p>
        </w:tc>
        <w:tc>
          <w:tcPr>
            <w:tcW w:w="2811" w:type="pct"/>
            <w:gridSpan w:val="4"/>
            <w:shd w:val="clear" w:color="auto" w:fill="auto"/>
            <w:noWrap/>
            <w:vAlign w:val="center"/>
          </w:tcPr>
          <w:p>
            <w:pPr>
              <w:widowControl/>
              <w:spacing w:line="300" w:lineRule="exact"/>
              <w:rPr>
                <w:rFonts w:cs="宋体" w:asciiTheme="minorEastAsia" w:hAnsiTheme="minorEastAsia"/>
                <w:kern w:val="0"/>
                <w:sz w:val="20"/>
                <w:szCs w:val="20"/>
              </w:rPr>
            </w:pPr>
            <w:r>
              <w:rPr>
                <w:rFonts w:hint="eastAsia" w:cs="宋体" w:asciiTheme="minorEastAsia" w:hAnsiTheme="minorEastAsia"/>
                <w:kern w:val="0"/>
                <w:sz w:val="20"/>
                <w:szCs w:val="20"/>
              </w:rPr>
              <w:t>组织评估中发现社工总站存在弄虚作假情况，扣除总得分的20%，并将该情况上报主管部门。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89" w:type="pct"/>
            <w:gridSpan w:val="4"/>
            <w:shd w:val="clear" w:color="auto" w:fill="auto"/>
            <w:noWrap/>
            <w:vAlign w:val="center"/>
          </w:tcPr>
          <w:p>
            <w:pPr>
              <w:widowControl/>
              <w:spacing w:line="30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判定标准</w:t>
            </w:r>
          </w:p>
        </w:tc>
        <w:tc>
          <w:tcPr>
            <w:tcW w:w="2811" w:type="pct"/>
            <w:gridSpan w:val="4"/>
            <w:shd w:val="clear" w:color="auto" w:fill="auto"/>
            <w:noWrap/>
            <w:vAlign w:val="center"/>
          </w:tcPr>
          <w:p>
            <w:pPr>
              <w:widowControl/>
              <w:spacing w:line="300" w:lineRule="exact"/>
              <w:rPr>
                <w:rFonts w:cs="宋体" w:asciiTheme="minorEastAsia" w:hAnsiTheme="minorEastAsia"/>
                <w:kern w:val="0"/>
                <w:sz w:val="20"/>
                <w:szCs w:val="20"/>
              </w:rPr>
            </w:pPr>
            <w:r>
              <w:rPr>
                <w:rFonts w:hint="eastAsia" w:cs="宋体" w:asciiTheme="minorEastAsia" w:hAnsiTheme="minorEastAsia"/>
                <w:kern w:val="0"/>
                <w:sz w:val="20"/>
                <w:szCs w:val="20"/>
              </w:rPr>
              <w:t>评估总分为100分，评估等级分为优秀、良好、合格、不合格四个等级，90分（含）以上为优秀，80分（含）至90分为良好，70分（含）至80分为合格，70分以下为不合格。</w:t>
            </w:r>
          </w:p>
        </w:tc>
      </w:tr>
    </w:tbl>
    <w:p/>
    <w:sectPr>
      <w:pgSz w:w="16838" w:h="11906" w:orient="landscape"/>
      <w:pgMar w:top="1418"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ZGZjMWE1ODBhYTNlNmEwNDc3NTIyNzJlNzJjYjMifQ=="/>
  </w:docVars>
  <w:rsids>
    <w:rsidRoot w:val="00702E1E"/>
    <w:rsid w:val="00080E12"/>
    <w:rsid w:val="001B591D"/>
    <w:rsid w:val="001E0896"/>
    <w:rsid w:val="00263520"/>
    <w:rsid w:val="002C0387"/>
    <w:rsid w:val="002F5D8B"/>
    <w:rsid w:val="00364FA8"/>
    <w:rsid w:val="0036545A"/>
    <w:rsid w:val="003C1040"/>
    <w:rsid w:val="004A36FF"/>
    <w:rsid w:val="004E7306"/>
    <w:rsid w:val="005508C6"/>
    <w:rsid w:val="00570544"/>
    <w:rsid w:val="005754D5"/>
    <w:rsid w:val="005D6DBB"/>
    <w:rsid w:val="00625D70"/>
    <w:rsid w:val="00696ACA"/>
    <w:rsid w:val="006D77DA"/>
    <w:rsid w:val="00702E1E"/>
    <w:rsid w:val="00824FF3"/>
    <w:rsid w:val="008A591D"/>
    <w:rsid w:val="008B4537"/>
    <w:rsid w:val="008B454C"/>
    <w:rsid w:val="008E5979"/>
    <w:rsid w:val="008E7BA6"/>
    <w:rsid w:val="00917620"/>
    <w:rsid w:val="00931E84"/>
    <w:rsid w:val="00936389"/>
    <w:rsid w:val="009F5182"/>
    <w:rsid w:val="00A472F7"/>
    <w:rsid w:val="00AC2140"/>
    <w:rsid w:val="00B47F2E"/>
    <w:rsid w:val="00B6530E"/>
    <w:rsid w:val="00BC37D7"/>
    <w:rsid w:val="00BC7D05"/>
    <w:rsid w:val="00BD74EB"/>
    <w:rsid w:val="00BF2DE2"/>
    <w:rsid w:val="00C36E77"/>
    <w:rsid w:val="00CB4D9E"/>
    <w:rsid w:val="00CF1514"/>
    <w:rsid w:val="00D01BD0"/>
    <w:rsid w:val="00D17448"/>
    <w:rsid w:val="00D3105E"/>
    <w:rsid w:val="00D34276"/>
    <w:rsid w:val="00DB1FEA"/>
    <w:rsid w:val="00E277CD"/>
    <w:rsid w:val="00E445CE"/>
    <w:rsid w:val="00EA681D"/>
    <w:rsid w:val="00EB714C"/>
    <w:rsid w:val="00F736A8"/>
    <w:rsid w:val="00FE2D36"/>
    <w:rsid w:val="4D6E0E7F"/>
    <w:rsid w:val="677F564D"/>
    <w:rsid w:val="7BBF86F3"/>
    <w:rsid w:val="7EF45BF5"/>
    <w:rsid w:val="BA7B23C6"/>
    <w:rsid w:val="BECB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3038</Words>
  <Characters>3114</Characters>
  <Lines>25</Lines>
  <Paragraphs>7</Paragraphs>
  <TotalTime>1</TotalTime>
  <ScaleCrop>false</ScaleCrop>
  <LinksUpToDate>false</LinksUpToDate>
  <CharactersWithSpaces>3205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2023-02-08T07:47:00Z</dcterms:created>
  <dc:creator>lenovo</dc:creator>
  <cp:lastModifiedBy>jnak</cp:lastModifiedBy>
  <dcterms:modified xsi:type="dcterms:W3CDTF">2023-02-21T11:41:49Z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2D39A03D74204D62B2FA67ABEB2E41C5</vt:lpwstr>
  </property>
</Properties>
</file>