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2024年“五一”全市婚姻登记处值班情况表</w:t>
      </w:r>
    </w:p>
    <w:bookmarkEnd w:id="0"/>
    <w:tbl>
      <w:tblPr>
        <w:tblStyle w:val="3"/>
        <w:tblpPr w:leftFromText="180" w:rightFromText="180" w:vertAnchor="page" w:horzAnchor="page" w:tblpX="1088" w:tblpY="2301"/>
        <w:tblOverlap w:val="never"/>
        <w:tblW w:w="9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142"/>
        <w:gridCol w:w="3310"/>
        <w:gridCol w:w="1987"/>
        <w:gridCol w:w="1818"/>
      </w:tblGrid>
      <w:tr>
        <w:trPr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70C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婚姻登记机关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办公地址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值班时间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业务电话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历下区民政局婚姻登记处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历下区二环东路7097号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（历下区政务中心三楼）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上午8:30-11:00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0531-86416467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市中区民政局婚姻登记处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市中区二环南路6086号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上午9:00-11:00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0531-82078652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槐荫区民政局婚姻登记处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槐荫区青岛路2668号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（印象济南4区5号楼一层）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上午9:00-11:00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0531-87067288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天桥区民政局婚姻登记处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天桥区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无影山东路96号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（天桥区政务中心一楼）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上午9:00-11:00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0531-85872754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历城区民政局婚姻登记处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济南市历城区文苑街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1500号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（历城区政务中心三楼）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上午9:00-11:00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0531-88035460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章丘区民政局婚姻登记处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章丘区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开先大道789号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（章丘区政务大厅五层）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上午9:00-11:00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0531-81295727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0531-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81295728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莱芜区民政局婚姻登记处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莱芜区凤城西大街179号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上午8:30-11:30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531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6113917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钢城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区民政局婚姻登记处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钢城区府前大街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56号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上午8：30-11:30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0531-76881376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商河县民政局婚姻登记处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商河县青年路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1795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号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上午8:30-12:00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0531-84871928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济南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高新技术产业开发区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管委会发展保障部婚姻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登记处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软件园山海登记点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济南高新区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齐鲁软件园C座负一层创业广场曰洱茶见处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上午9:00-11:00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0531-88871255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0531-67817182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南部山区管理委员会社会事务管理局婚姻登记处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南部山区仲宫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街道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宏福路2号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济南市南山区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人民医院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临街大门口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上午9:00-11:30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0531-88112516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济南新旧动能转换起步区管理委员会社会事业部婚姻登记处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天桥区济水路与规划三路交叉口东北280米（起步区市民中心三楼）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上午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9:00-11:00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0531-81175726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D6BBEF"/>
    <w:rsid w:val="FED6B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2024-04-25T16:53:00Z</dcterms:created>
  <dc:creator>禹胜楠</dc:creator>
  <cp:lastModifiedBy>禹胜楠</cp:lastModifiedBy>
  <dcterms:modified xsi:type="dcterms:W3CDTF">2024-04-25T16:54:24Z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44B59D4174AA0BEF241A2A66B8D73BF6_41</vt:lpwstr>
  </property>
</Properties>
</file>